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C1B3" w14:textId="091861EB" w:rsidR="004F65AA" w:rsidRDefault="00A723DA"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290949">
        <w:rPr>
          <w:rFonts w:asciiTheme="minorHAnsi" w:hAnsiTheme="minorHAnsi" w:cs="Calibri"/>
          <w:szCs w:val="24"/>
        </w:rPr>
        <w:t>:</w:t>
      </w:r>
      <w:r w:rsidR="00C97343">
        <w:rPr>
          <w:rFonts w:asciiTheme="minorHAnsi" w:hAnsiTheme="minorHAnsi" w:cs="Calibri"/>
          <w:szCs w:val="24"/>
        </w:rPr>
        <w:tab/>
      </w:r>
      <w:r w:rsidR="006420A2">
        <w:rPr>
          <w:rFonts w:asciiTheme="minorHAnsi" w:hAnsiTheme="minorHAnsi" w:cs="Calibri"/>
          <w:szCs w:val="24"/>
        </w:rPr>
        <w:t xml:space="preserve">             </w:t>
      </w:r>
      <w:r w:rsidR="0027731E">
        <w:rPr>
          <w:rFonts w:asciiTheme="minorHAnsi" w:hAnsiTheme="minorHAnsi" w:cs="Calibri"/>
          <w:szCs w:val="24"/>
        </w:rPr>
        <w:t>Mayor Tim Helms – Chair</w:t>
      </w:r>
    </w:p>
    <w:p w14:paraId="1EAA3856" w14:textId="54588499" w:rsidR="00E2551F" w:rsidRDefault="0027731E"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2551F">
        <w:rPr>
          <w:rFonts w:asciiTheme="minorHAnsi" w:hAnsiTheme="minorHAnsi" w:cs="Calibri"/>
          <w:szCs w:val="24"/>
        </w:rPr>
        <w:tab/>
        <w:t>Maggie Elliott</w:t>
      </w:r>
    </w:p>
    <w:p w14:paraId="1A0FFA06" w14:textId="09F1FD3A"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Casper</w:t>
      </w:r>
    </w:p>
    <w:p w14:paraId="3BE637A8" w14:textId="21D97235"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p>
    <w:p w14:paraId="52124477" w14:textId="49FCB83D"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Daniel Hewitt</w:t>
      </w:r>
    </w:p>
    <w:p w14:paraId="781350A2" w14:textId="62E70E7B" w:rsidR="001A4F17" w:rsidRDefault="001A4F17"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Mari Gramling</w:t>
      </w:r>
    </w:p>
    <w:p w14:paraId="502BA945" w14:textId="667690D1" w:rsidR="00A8363F" w:rsidRDefault="00A8363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Paul Maurer</w:t>
      </w:r>
    </w:p>
    <w:p w14:paraId="2F3428AA" w14:textId="7799E314" w:rsidR="009C6FA7" w:rsidRPr="00392AE6" w:rsidRDefault="00DF6954"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04E9C383" w14:textId="4B3BDA38" w:rsidR="005A119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31244C10" w14:textId="4A133F29" w:rsidR="0027731E"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sidR="00BE45C8">
        <w:rPr>
          <w:rFonts w:asciiTheme="minorHAnsi" w:hAnsiTheme="minorHAnsi" w:cs="Calibri"/>
          <w:szCs w:val="24"/>
        </w:rPr>
        <w:tab/>
      </w:r>
      <w:r w:rsidR="001A4F17">
        <w:rPr>
          <w:rFonts w:asciiTheme="minorHAnsi" w:hAnsiTheme="minorHAnsi" w:cs="Calibri"/>
          <w:szCs w:val="24"/>
        </w:rPr>
        <w:t>Dr. Bill Seaman</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BC849C" w14:textId="1E1D7E75" w:rsidR="00F00860" w:rsidRDefault="00202AB5" w:rsidP="00BE45C8">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6420A2">
        <w:rPr>
          <w:rFonts w:asciiTheme="minorHAnsi" w:hAnsiTheme="minorHAnsi" w:cs="Calibri"/>
          <w:szCs w:val="24"/>
        </w:rPr>
        <w:tab/>
      </w:r>
      <w:r w:rsidR="0027731E">
        <w:rPr>
          <w:rFonts w:asciiTheme="minorHAnsi" w:hAnsiTheme="minorHAnsi" w:cs="Calibri"/>
          <w:szCs w:val="24"/>
        </w:rPr>
        <w:t>Angie Murphy, Town Clerk</w:t>
      </w:r>
    </w:p>
    <w:p w14:paraId="62E3B86C" w14:textId="10360F9E" w:rsidR="001A4F17" w:rsidRDefault="001A4F17" w:rsidP="00BE45C8">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Kayla DiCristina, Zoning Administrator</w:t>
      </w:r>
    </w:p>
    <w:p w14:paraId="71DC5DC4" w14:textId="77777777" w:rsidR="00304DE0" w:rsidRDefault="00304DE0" w:rsidP="00BE45C8">
      <w:pPr>
        <w:widowControl w:val="0"/>
        <w:adjustRightInd w:val="0"/>
        <w:textAlignment w:val="baseline"/>
        <w:rPr>
          <w:rFonts w:asciiTheme="minorHAnsi" w:hAnsiTheme="minorHAnsi" w:cs="Calibri"/>
          <w:szCs w:val="24"/>
        </w:rPr>
      </w:pPr>
    </w:p>
    <w:p w14:paraId="35572446" w14:textId="6C89239F" w:rsidR="00D36F05" w:rsidRDefault="00304DE0" w:rsidP="006420A2">
      <w:pPr>
        <w:widowControl w:val="0"/>
        <w:adjustRightInd w:val="0"/>
        <w:textAlignment w:val="baseline"/>
        <w:rPr>
          <w:rFonts w:asciiTheme="minorHAnsi" w:hAnsiTheme="minorHAnsi" w:cs="Calibri"/>
          <w:szCs w:val="24"/>
        </w:rPr>
      </w:pPr>
      <w:r w:rsidRPr="00304DE0">
        <w:rPr>
          <w:rFonts w:asciiTheme="minorHAnsi" w:hAnsiTheme="minorHAnsi" w:cs="Calibri"/>
          <w:szCs w:val="24"/>
          <w:u w:val="single"/>
        </w:rPr>
        <w:t>Special Guest</w:t>
      </w:r>
      <w:r>
        <w:rPr>
          <w:rFonts w:asciiTheme="minorHAnsi" w:hAnsiTheme="minorHAnsi" w:cs="Calibri"/>
          <w:szCs w:val="24"/>
        </w:rPr>
        <w:t>:</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1F2EB2AC" w:rsidR="00202AB5"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rPr>
        <w:t>The Chair</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6420A2">
        <w:rPr>
          <w:rFonts w:asciiTheme="minorHAnsi" w:hAnsiTheme="minorHAnsi" w:cs="Calibri"/>
          <w:szCs w:val="24"/>
        </w:rPr>
        <w:t>meeting to order at 10</w:t>
      </w:r>
      <w:r w:rsidR="00BE45C8">
        <w:rPr>
          <w:rFonts w:asciiTheme="minorHAnsi" w:hAnsiTheme="minorHAnsi" w:cs="Calibri"/>
          <w:szCs w:val="24"/>
        </w:rPr>
        <w:t>:</w:t>
      </w:r>
      <w:r w:rsidR="001A4F17">
        <w:rPr>
          <w:rFonts w:asciiTheme="minorHAnsi" w:hAnsiTheme="minorHAnsi" w:cs="Calibri"/>
          <w:szCs w:val="24"/>
        </w:rPr>
        <w:t>3</w:t>
      </w:r>
      <w:r w:rsidR="006420A2">
        <w:rPr>
          <w:rFonts w:asciiTheme="minorHAnsi" w:hAnsiTheme="minorHAnsi" w:cs="Calibri"/>
          <w:szCs w:val="24"/>
        </w:rPr>
        <w:t>0 a</w:t>
      </w:r>
      <w:r w:rsidR="00BE45C8">
        <w:rPr>
          <w:rFonts w:asciiTheme="minorHAnsi" w:hAnsiTheme="minorHAnsi" w:cs="Calibri"/>
          <w:szCs w:val="24"/>
        </w:rPr>
        <w:t>.m</w:t>
      </w:r>
      <w:r>
        <w:rPr>
          <w:rFonts w:asciiTheme="minorHAnsi" w:hAnsiTheme="minorHAnsi" w:cs="Calibri"/>
          <w:szCs w:val="24"/>
        </w:rPr>
        <w:t>.</w:t>
      </w:r>
      <w:r w:rsidR="00975753">
        <w:rPr>
          <w:rFonts w:asciiTheme="minorHAnsi" w:hAnsiTheme="minorHAnsi" w:cs="Calibri"/>
          <w:szCs w:val="24"/>
        </w:rPr>
        <w:t xml:space="preserve"> w</w:t>
      </w:r>
      <w:r w:rsidR="00E2551F">
        <w:rPr>
          <w:rFonts w:asciiTheme="minorHAnsi" w:hAnsiTheme="minorHAnsi" w:cs="Calibri"/>
          <w:szCs w:val="24"/>
        </w:rPr>
        <w:t>elcomed everyone</w:t>
      </w:r>
      <w:r w:rsidR="00975753">
        <w:rPr>
          <w:rFonts w:asciiTheme="minorHAnsi" w:hAnsiTheme="minorHAnsi" w:cs="Calibri"/>
          <w:szCs w:val="24"/>
        </w:rPr>
        <w:t xml:space="preserve"> and held a moment of silence</w:t>
      </w:r>
      <w:r w:rsidR="00E2551F">
        <w:rPr>
          <w:rFonts w:asciiTheme="minorHAnsi" w:hAnsiTheme="minorHAnsi" w:cs="Calibri"/>
          <w:szCs w:val="24"/>
        </w:rPr>
        <w:t xml:space="preserve">.  </w:t>
      </w:r>
      <w:r w:rsidR="009B0B1C">
        <w:rPr>
          <w:rFonts w:asciiTheme="minorHAnsi" w:hAnsiTheme="minorHAnsi" w:cs="Calibri"/>
          <w:szCs w:val="24"/>
        </w:rPr>
        <w:t xml:space="preserve"> There were three</w:t>
      </w:r>
      <w:r w:rsidR="00975753">
        <w:rPr>
          <w:rFonts w:asciiTheme="minorHAnsi" w:hAnsiTheme="minorHAnsi" w:cs="Calibri"/>
          <w:szCs w:val="24"/>
        </w:rPr>
        <w:t xml:space="preserve"> members of the public present with several more watching via Zoom Meeting Software.</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C7FB3F5" w14:textId="77777777" w:rsidR="00C97343" w:rsidRDefault="00C97343" w:rsidP="00A67FD1">
      <w:pPr>
        <w:widowControl w:val="0"/>
        <w:outlineLvl w:val="0"/>
        <w:rPr>
          <w:rFonts w:asciiTheme="minorHAnsi" w:hAnsiTheme="minorHAnsi" w:cs="Calibri"/>
          <w:szCs w:val="24"/>
        </w:rPr>
      </w:pPr>
    </w:p>
    <w:p w14:paraId="039E0B5B" w14:textId="21E5FC94" w:rsidR="0099520B" w:rsidRDefault="004828BD" w:rsidP="00A67FD1">
      <w:pPr>
        <w:widowControl w:val="0"/>
        <w:outlineLvl w:val="0"/>
        <w:rPr>
          <w:rFonts w:asciiTheme="minorHAnsi" w:hAnsiTheme="minorHAnsi" w:cs="Calibri"/>
          <w:szCs w:val="24"/>
        </w:rPr>
      </w:pPr>
      <w:r>
        <w:rPr>
          <w:rFonts w:asciiTheme="minorHAnsi" w:hAnsiTheme="minorHAnsi" w:cs="Calibri"/>
          <w:szCs w:val="24"/>
        </w:rPr>
        <w:t>Dr. Paul Maurer</w:t>
      </w:r>
      <w:r w:rsidR="004F65AA">
        <w:rPr>
          <w:rFonts w:asciiTheme="minorHAnsi" w:hAnsiTheme="minorHAnsi" w:cs="Calibri"/>
          <w:szCs w:val="24"/>
        </w:rPr>
        <w:t xml:space="preserve"> moved to approve the agend</w:t>
      </w:r>
      <w:r w:rsidR="00BE45C8">
        <w:rPr>
          <w:rFonts w:asciiTheme="minorHAnsi" w:hAnsiTheme="minorHAnsi" w:cs="Calibri"/>
          <w:szCs w:val="24"/>
        </w:rPr>
        <w:t xml:space="preserve">a </w:t>
      </w:r>
      <w:r w:rsidR="00A8363F">
        <w:rPr>
          <w:rFonts w:asciiTheme="minorHAnsi" w:hAnsiTheme="minorHAnsi" w:cs="Calibri"/>
          <w:szCs w:val="24"/>
        </w:rPr>
        <w:t>as presented.  Mr. Richard DuBose</w:t>
      </w:r>
      <w:r w:rsidR="004F65AA">
        <w:rPr>
          <w:rFonts w:asciiTheme="minorHAnsi" w:hAnsiTheme="minorHAnsi" w:cs="Calibri"/>
          <w:szCs w:val="24"/>
        </w:rPr>
        <w:t xml:space="preserve"> s</w:t>
      </w:r>
      <w:r>
        <w:rPr>
          <w:rFonts w:asciiTheme="minorHAnsi" w:hAnsiTheme="minorHAnsi" w:cs="Calibri"/>
          <w:szCs w:val="24"/>
        </w:rPr>
        <w:t>econded and the motion carried 7</w:t>
      </w:r>
      <w:r w:rsidR="004F65AA">
        <w:rPr>
          <w:rFonts w:asciiTheme="minorHAnsi" w:hAnsiTheme="minorHAnsi" w:cs="Calibri"/>
          <w:szCs w:val="24"/>
        </w:rPr>
        <w:t>/0.</w:t>
      </w:r>
    </w:p>
    <w:p w14:paraId="5C615E1D" w14:textId="77777777" w:rsidR="00796E10" w:rsidRDefault="00796E10" w:rsidP="00864B61">
      <w:pPr>
        <w:widowControl w:val="0"/>
        <w:jc w:val="left"/>
        <w:outlineLvl w:val="0"/>
        <w:rPr>
          <w:rFonts w:asciiTheme="minorHAnsi" w:hAnsiTheme="minorHAnsi" w:cs="Calibri"/>
          <w:szCs w:val="24"/>
        </w:rPr>
      </w:pPr>
    </w:p>
    <w:p w14:paraId="68F6A1A6" w14:textId="2240F82C" w:rsidR="00042FA4" w:rsidRDefault="00042FA4"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Minute Approval</w:t>
      </w:r>
    </w:p>
    <w:p w14:paraId="51A42C36" w14:textId="77777777" w:rsidR="00042FA4" w:rsidRDefault="00042FA4" w:rsidP="00C97343">
      <w:pPr>
        <w:widowControl w:val="0"/>
        <w:jc w:val="center"/>
        <w:outlineLvl w:val="0"/>
        <w:rPr>
          <w:rFonts w:asciiTheme="majorHAnsi" w:hAnsiTheme="majorHAnsi" w:cs="Calibri"/>
          <w:b/>
          <w:szCs w:val="24"/>
          <w:u w:val="single"/>
        </w:rPr>
      </w:pPr>
    </w:p>
    <w:p w14:paraId="317D80AF" w14:textId="526F6850" w:rsidR="00042FA4" w:rsidRPr="00042FA4" w:rsidRDefault="004828BD" w:rsidP="00042FA4">
      <w:pPr>
        <w:widowControl w:val="0"/>
        <w:jc w:val="left"/>
        <w:outlineLvl w:val="0"/>
        <w:rPr>
          <w:rFonts w:asciiTheme="minorHAnsi" w:hAnsiTheme="minorHAnsi" w:cs="Calibri"/>
          <w:szCs w:val="24"/>
        </w:rPr>
      </w:pPr>
      <w:r>
        <w:rPr>
          <w:rFonts w:asciiTheme="minorHAnsi" w:hAnsiTheme="minorHAnsi" w:cs="Calibri"/>
          <w:szCs w:val="24"/>
        </w:rPr>
        <w:t>Dr. Paul Maurer moved to approve the January 13, 2023</w:t>
      </w:r>
      <w:r w:rsidR="00042FA4">
        <w:rPr>
          <w:rFonts w:asciiTheme="minorHAnsi" w:hAnsiTheme="minorHAnsi" w:cs="Calibri"/>
          <w:szCs w:val="24"/>
        </w:rPr>
        <w:t xml:space="preserve"> minute</w:t>
      </w:r>
      <w:r>
        <w:rPr>
          <w:rFonts w:asciiTheme="minorHAnsi" w:hAnsiTheme="minorHAnsi" w:cs="Calibri"/>
          <w:szCs w:val="24"/>
        </w:rPr>
        <w:t>s as presented.  Richard DuBose</w:t>
      </w:r>
      <w:r w:rsidR="00042FA4">
        <w:rPr>
          <w:rFonts w:asciiTheme="minorHAnsi" w:hAnsiTheme="minorHAnsi" w:cs="Calibri"/>
          <w:szCs w:val="24"/>
        </w:rPr>
        <w:t xml:space="preserve"> s</w:t>
      </w:r>
      <w:r>
        <w:rPr>
          <w:rFonts w:asciiTheme="minorHAnsi" w:hAnsiTheme="minorHAnsi" w:cs="Calibri"/>
          <w:szCs w:val="24"/>
        </w:rPr>
        <w:t>econded and the motion carried 7</w:t>
      </w:r>
      <w:r w:rsidR="00042FA4">
        <w:rPr>
          <w:rFonts w:asciiTheme="minorHAnsi" w:hAnsiTheme="minorHAnsi" w:cs="Calibri"/>
          <w:szCs w:val="24"/>
        </w:rPr>
        <w:t>/0.</w:t>
      </w:r>
    </w:p>
    <w:p w14:paraId="58A44348" w14:textId="77777777" w:rsidR="00042FA4" w:rsidRDefault="00042FA4" w:rsidP="00C97343">
      <w:pPr>
        <w:widowControl w:val="0"/>
        <w:jc w:val="center"/>
        <w:outlineLvl w:val="0"/>
        <w:rPr>
          <w:rFonts w:asciiTheme="majorHAnsi" w:hAnsiTheme="majorHAnsi" w:cs="Calibri"/>
          <w:b/>
          <w:szCs w:val="24"/>
          <w:u w:val="single"/>
        </w:rPr>
      </w:pPr>
    </w:p>
    <w:p w14:paraId="30B6032A" w14:textId="77777777" w:rsidR="00042FA4" w:rsidRDefault="00042FA4" w:rsidP="00C97343">
      <w:pPr>
        <w:widowControl w:val="0"/>
        <w:jc w:val="center"/>
        <w:outlineLvl w:val="0"/>
        <w:rPr>
          <w:rFonts w:asciiTheme="majorHAnsi" w:hAnsiTheme="majorHAnsi" w:cs="Calibri"/>
          <w:b/>
          <w:szCs w:val="24"/>
          <w:u w:val="single"/>
        </w:rPr>
      </w:pPr>
    </w:p>
    <w:p w14:paraId="2B40A71C" w14:textId="4705E6D8" w:rsidR="00C97343" w:rsidRDefault="004828BD"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Comprehensive Plan Overview</w:t>
      </w:r>
    </w:p>
    <w:p w14:paraId="5A2B16AE" w14:textId="77777777" w:rsidR="00975753" w:rsidRDefault="00975753" w:rsidP="00C97343">
      <w:pPr>
        <w:widowControl w:val="0"/>
        <w:jc w:val="center"/>
        <w:outlineLvl w:val="0"/>
        <w:rPr>
          <w:rFonts w:asciiTheme="majorHAnsi" w:hAnsiTheme="majorHAnsi" w:cs="Calibri"/>
          <w:b/>
          <w:szCs w:val="24"/>
          <w:u w:val="single"/>
        </w:rPr>
      </w:pPr>
    </w:p>
    <w:p w14:paraId="7359850F" w14:textId="523A088D" w:rsidR="00EC61D9" w:rsidRDefault="004828BD" w:rsidP="004828BD">
      <w:pPr>
        <w:widowControl w:val="0"/>
        <w:jc w:val="left"/>
        <w:outlineLvl w:val="0"/>
        <w:rPr>
          <w:rFonts w:asciiTheme="minorHAnsi" w:hAnsiTheme="minorHAnsi" w:cs="Calibri"/>
          <w:szCs w:val="24"/>
        </w:rPr>
      </w:pPr>
      <w:r>
        <w:rPr>
          <w:rFonts w:asciiTheme="minorHAnsi" w:hAnsiTheme="minorHAnsi" w:cs="Calibri"/>
          <w:szCs w:val="24"/>
        </w:rPr>
        <w:t>Zoning</w:t>
      </w:r>
      <w:r w:rsidR="00BD0486">
        <w:rPr>
          <w:rFonts w:asciiTheme="minorHAnsi" w:hAnsiTheme="minorHAnsi" w:cs="Calibri"/>
          <w:szCs w:val="24"/>
        </w:rPr>
        <w:t xml:space="preserve"> Administrator Kayla DiCristina stated that a Comprehensive Plan is not a regulatory document and is not legally binding nor does it regulate land use.  Comprehensive Plans are meant to be aspirational in nature.  The Comprehensive Plan is used to guide development towards an established vision.  Comprehensive Plans also identifies needs and desires and establishes priorities </w:t>
      </w:r>
      <w:r w:rsidR="00BD0486">
        <w:rPr>
          <w:rFonts w:asciiTheme="minorHAnsi" w:hAnsiTheme="minorHAnsi" w:cs="Calibri"/>
          <w:szCs w:val="24"/>
        </w:rPr>
        <w:lastRenderedPageBreak/>
        <w:t xml:space="preserve">and plans for growth and change.  The objectives of Comprehensive Plans must be flexible because the life span is 10 to 20 years.  </w:t>
      </w:r>
      <w:r w:rsidR="009F1653">
        <w:rPr>
          <w:rFonts w:asciiTheme="minorHAnsi" w:hAnsiTheme="minorHAnsi" w:cs="Calibri"/>
          <w:szCs w:val="24"/>
        </w:rPr>
        <w:t xml:space="preserve">The vision of the Comprehensive Plan is broad and aspirational.  Ms. DiCristina asked the Comprehensive Plan Steering Committee to keep referring back to the vision as this process continues.  Ms. DiCristina also advised that the Comprehensive Plan should be a snapshot of where the Town is today and the dream of where the Town wants to be in the future.  The Comprehensive Plan has a massive impact on decisions for the Town.  </w:t>
      </w:r>
    </w:p>
    <w:p w14:paraId="1766E10B" w14:textId="77777777" w:rsidR="009F1653" w:rsidRDefault="009F1653" w:rsidP="004828BD">
      <w:pPr>
        <w:widowControl w:val="0"/>
        <w:jc w:val="left"/>
        <w:outlineLvl w:val="0"/>
        <w:rPr>
          <w:rFonts w:asciiTheme="minorHAnsi" w:hAnsiTheme="minorHAnsi" w:cs="Calibri"/>
          <w:szCs w:val="24"/>
        </w:rPr>
      </w:pPr>
    </w:p>
    <w:p w14:paraId="60D411F9" w14:textId="0C996ECE" w:rsidR="009F1653" w:rsidRDefault="009F1653" w:rsidP="009F1653">
      <w:pPr>
        <w:widowControl w:val="0"/>
        <w:jc w:val="center"/>
        <w:outlineLvl w:val="0"/>
        <w:rPr>
          <w:rFonts w:asciiTheme="majorHAnsi" w:hAnsiTheme="majorHAnsi" w:cs="Calibri"/>
          <w:b/>
          <w:szCs w:val="24"/>
          <w:u w:val="single"/>
        </w:rPr>
      </w:pPr>
      <w:r>
        <w:rPr>
          <w:rFonts w:asciiTheme="majorHAnsi" w:hAnsiTheme="majorHAnsi" w:cs="Calibri"/>
          <w:b/>
          <w:szCs w:val="24"/>
          <w:u w:val="single"/>
        </w:rPr>
        <w:t>Review Outstanding 2008 Plan Recommendations and Strategies</w:t>
      </w:r>
    </w:p>
    <w:p w14:paraId="0BC4811A" w14:textId="77777777" w:rsidR="009F1653" w:rsidRDefault="009F1653" w:rsidP="009F1653">
      <w:pPr>
        <w:widowControl w:val="0"/>
        <w:jc w:val="center"/>
        <w:outlineLvl w:val="0"/>
        <w:rPr>
          <w:rFonts w:asciiTheme="majorHAnsi" w:hAnsiTheme="majorHAnsi" w:cs="Calibri"/>
          <w:b/>
          <w:szCs w:val="24"/>
          <w:u w:val="single"/>
        </w:rPr>
      </w:pPr>
    </w:p>
    <w:p w14:paraId="6DC0BBBF" w14:textId="77777777" w:rsidR="009B057C" w:rsidRDefault="009F1653" w:rsidP="009F1653">
      <w:pPr>
        <w:widowControl w:val="0"/>
        <w:jc w:val="left"/>
        <w:outlineLvl w:val="0"/>
        <w:rPr>
          <w:rFonts w:asciiTheme="minorHAnsi" w:hAnsiTheme="minorHAnsi" w:cs="Calibri"/>
          <w:szCs w:val="24"/>
        </w:rPr>
      </w:pPr>
      <w:r>
        <w:rPr>
          <w:rFonts w:asciiTheme="minorHAnsi" w:hAnsiTheme="minorHAnsi" w:cs="Calibri"/>
          <w:szCs w:val="24"/>
        </w:rPr>
        <w:t>Ms. DiCristina went through the existing recommendations and strategies of the 2008 Comprehensive Plan and determined which ones were not carried over and which ones were dir</w:t>
      </w:r>
      <w:r w:rsidR="0016726B">
        <w:rPr>
          <w:rFonts w:asciiTheme="minorHAnsi" w:hAnsiTheme="minorHAnsi" w:cs="Calibri"/>
          <w:szCs w:val="24"/>
        </w:rPr>
        <w:t>ectly/indirectly carried over into the new objectives.  Ms. DiCristina directed the Comprehensive Plan Steering Committee to page 32 of the 2008 Town of Montreat Comprehensive Plan</w:t>
      </w:r>
      <w:r w:rsidR="009B057C">
        <w:rPr>
          <w:rFonts w:asciiTheme="minorHAnsi" w:hAnsiTheme="minorHAnsi" w:cs="Calibri"/>
          <w:szCs w:val="24"/>
        </w:rPr>
        <w:t xml:space="preserve"> and page 4 of the Draft Vision Statement Objective</w:t>
      </w:r>
      <w:r w:rsidR="0016726B">
        <w:rPr>
          <w:rFonts w:asciiTheme="minorHAnsi" w:hAnsiTheme="minorHAnsi" w:cs="Calibri"/>
          <w:szCs w:val="24"/>
        </w:rPr>
        <w:t>.</w:t>
      </w:r>
    </w:p>
    <w:p w14:paraId="1F0ACD8A" w14:textId="77777777" w:rsidR="009B057C" w:rsidRDefault="009B057C" w:rsidP="009F1653">
      <w:pPr>
        <w:widowControl w:val="0"/>
        <w:jc w:val="left"/>
        <w:outlineLvl w:val="0"/>
        <w:rPr>
          <w:rFonts w:asciiTheme="minorHAnsi" w:hAnsiTheme="minorHAnsi" w:cs="Calibri"/>
          <w:szCs w:val="24"/>
        </w:rPr>
      </w:pPr>
    </w:p>
    <w:p w14:paraId="19321D4C" w14:textId="4CC0A8AB" w:rsidR="009B057C" w:rsidRDefault="009B057C" w:rsidP="009B057C">
      <w:pPr>
        <w:widowControl w:val="0"/>
        <w:jc w:val="left"/>
        <w:outlineLvl w:val="0"/>
        <w:rPr>
          <w:rFonts w:asciiTheme="minorHAnsi" w:hAnsiTheme="minorHAnsi" w:cs="Calibri"/>
          <w:szCs w:val="24"/>
        </w:rPr>
      </w:pPr>
      <w:r>
        <w:rPr>
          <w:rFonts w:asciiTheme="minorHAnsi" w:hAnsiTheme="minorHAnsi" w:cs="Calibri"/>
          <w:szCs w:val="24"/>
        </w:rPr>
        <w:t>Ms. DiCristina reviewed the Recommendation &amp; Implementation Strategies that were directly/indirectly carried over in the new objec</w:t>
      </w:r>
      <w:r w:rsidR="00FC1ADA">
        <w:rPr>
          <w:rFonts w:asciiTheme="minorHAnsi" w:hAnsiTheme="minorHAnsi" w:cs="Calibri"/>
          <w:szCs w:val="24"/>
        </w:rPr>
        <w:t>tives.  For a quick</w:t>
      </w:r>
      <w:r>
        <w:rPr>
          <w:rFonts w:asciiTheme="minorHAnsi" w:hAnsiTheme="minorHAnsi" w:cs="Calibri"/>
          <w:szCs w:val="24"/>
        </w:rPr>
        <w:t xml:space="preserve"> review of the discussion please review the YouTube video at the following link:  </w:t>
      </w:r>
      <w:hyperlink r:id="rId10" w:history="1">
        <w:r w:rsidRPr="00A3438A">
          <w:rPr>
            <w:rStyle w:val="Hyperlink"/>
            <w:rFonts w:asciiTheme="minorHAnsi" w:hAnsiTheme="minorHAnsi" w:cs="Calibri"/>
            <w:szCs w:val="24"/>
          </w:rPr>
          <w:t>https://www.youtube.com/watch?v=M-c1dDoW0fU&amp;t=757s</w:t>
        </w:r>
      </w:hyperlink>
      <w:r>
        <w:rPr>
          <w:rFonts w:asciiTheme="minorHAnsi" w:hAnsiTheme="minorHAnsi" w:cs="Calibri"/>
          <w:szCs w:val="24"/>
        </w:rPr>
        <w:t>.</w:t>
      </w:r>
      <w:r w:rsidR="00FC1ADA">
        <w:rPr>
          <w:rFonts w:asciiTheme="minorHAnsi" w:hAnsiTheme="minorHAnsi" w:cs="Calibri"/>
          <w:szCs w:val="24"/>
        </w:rPr>
        <w:t xml:space="preserve">  </w:t>
      </w:r>
    </w:p>
    <w:p w14:paraId="3A65C6E5" w14:textId="77777777" w:rsidR="00BF0C08" w:rsidRDefault="00BF0C08" w:rsidP="009B057C">
      <w:pPr>
        <w:widowControl w:val="0"/>
        <w:jc w:val="left"/>
        <w:outlineLvl w:val="0"/>
        <w:rPr>
          <w:rFonts w:asciiTheme="minorHAnsi" w:hAnsiTheme="minorHAnsi" w:cs="Calibri"/>
          <w:szCs w:val="24"/>
        </w:rPr>
      </w:pPr>
    </w:p>
    <w:p w14:paraId="6D8C089E" w14:textId="173FB04E" w:rsidR="00BF0C08" w:rsidRDefault="0003161E" w:rsidP="009B057C">
      <w:pPr>
        <w:widowControl w:val="0"/>
        <w:jc w:val="left"/>
        <w:outlineLvl w:val="0"/>
        <w:rPr>
          <w:rFonts w:asciiTheme="minorHAnsi" w:hAnsiTheme="minorHAnsi" w:cs="Calibri"/>
          <w:szCs w:val="24"/>
        </w:rPr>
      </w:pPr>
      <w:r>
        <w:rPr>
          <w:rFonts w:asciiTheme="minorHAnsi" w:hAnsiTheme="minorHAnsi" w:cs="Calibri"/>
          <w:szCs w:val="24"/>
        </w:rPr>
        <w:t xml:space="preserve">Ms. DiCristina then directed the conversation toward the strategies that were not carried over to see if there was any interest in the topics.  </w:t>
      </w:r>
      <w:r w:rsidR="0084081E">
        <w:rPr>
          <w:rFonts w:asciiTheme="minorHAnsi" w:hAnsiTheme="minorHAnsi" w:cs="Calibri"/>
          <w:szCs w:val="24"/>
        </w:rPr>
        <w:t>The following chart was completed by the Members.</w:t>
      </w:r>
    </w:p>
    <w:p w14:paraId="2666E016" w14:textId="77777777" w:rsidR="0003161E" w:rsidRDefault="0003161E" w:rsidP="009B057C">
      <w:pPr>
        <w:widowControl w:val="0"/>
        <w:jc w:val="left"/>
        <w:outlineLvl w:val="0"/>
        <w:rPr>
          <w:rFonts w:asciiTheme="minorHAnsi" w:hAnsiTheme="minorHAnsi" w:cs="Calibri"/>
          <w:szCs w:val="24"/>
        </w:rPr>
      </w:pPr>
    </w:p>
    <w:tbl>
      <w:tblPr>
        <w:tblStyle w:val="TableGrid"/>
        <w:tblpPr w:leftFromText="180" w:rightFromText="180" w:vertAnchor="text" w:horzAnchor="margin" w:tblpY="196"/>
        <w:tblW w:w="9900" w:type="dxa"/>
        <w:tblLook w:val="04A0" w:firstRow="1" w:lastRow="0" w:firstColumn="1" w:lastColumn="0" w:noHBand="0" w:noVBand="1"/>
      </w:tblPr>
      <w:tblGrid>
        <w:gridCol w:w="3510"/>
        <w:gridCol w:w="4410"/>
        <w:gridCol w:w="1980"/>
      </w:tblGrid>
      <w:tr w:rsidR="0003161E" w:rsidRPr="00BE510B" w14:paraId="63ECD600" w14:textId="77777777" w:rsidTr="00BD4F35">
        <w:tc>
          <w:tcPr>
            <w:tcW w:w="9900" w:type="dxa"/>
            <w:gridSpan w:val="3"/>
            <w:shd w:val="clear" w:color="auto" w:fill="D9D9D9" w:themeFill="background1" w:themeFillShade="D9"/>
          </w:tcPr>
          <w:p w14:paraId="42481F7D" w14:textId="77777777" w:rsidR="0003161E" w:rsidRPr="00BE510B" w:rsidRDefault="0003161E" w:rsidP="00BD4F35">
            <w:pPr>
              <w:pStyle w:val="ListParagraph"/>
              <w:ind w:left="0"/>
              <w:jc w:val="center"/>
              <w:rPr>
                <w:rFonts w:ascii="Cambria" w:hAnsi="Cambria"/>
                <w:b/>
              </w:rPr>
            </w:pPr>
            <w:r>
              <w:rPr>
                <w:rFonts w:ascii="Cambria" w:hAnsi="Cambria"/>
                <w:b/>
              </w:rPr>
              <w:t xml:space="preserve">     </w:t>
            </w:r>
            <w:r w:rsidRPr="00BE510B">
              <w:rPr>
                <w:rFonts w:ascii="Cambria" w:hAnsi="Cambria"/>
                <w:b/>
              </w:rPr>
              <w:t xml:space="preserve">      LAND USE</w:t>
            </w:r>
          </w:p>
        </w:tc>
      </w:tr>
      <w:tr w:rsidR="0003161E" w:rsidRPr="00BE510B" w14:paraId="60D95DE0" w14:textId="77777777" w:rsidTr="00BD4F35">
        <w:tc>
          <w:tcPr>
            <w:tcW w:w="3510" w:type="dxa"/>
          </w:tcPr>
          <w:p w14:paraId="0FDAA4CE" w14:textId="77777777" w:rsidR="0003161E" w:rsidRPr="00BE510B" w:rsidRDefault="0003161E" w:rsidP="00BD4F35">
            <w:pPr>
              <w:pStyle w:val="ListParagraph"/>
              <w:ind w:left="0"/>
              <w:jc w:val="center"/>
              <w:rPr>
                <w:rFonts w:ascii="Cambria" w:hAnsi="Cambria"/>
                <w:b/>
              </w:rPr>
            </w:pPr>
            <w:r w:rsidRPr="00BE510B">
              <w:rPr>
                <w:rFonts w:ascii="Cambria" w:hAnsi="Cambria"/>
                <w:b/>
              </w:rPr>
              <w:t>Recommendation</w:t>
            </w:r>
          </w:p>
        </w:tc>
        <w:tc>
          <w:tcPr>
            <w:tcW w:w="4410" w:type="dxa"/>
          </w:tcPr>
          <w:p w14:paraId="51F12E67" w14:textId="77777777" w:rsidR="0003161E" w:rsidRPr="00BE510B" w:rsidRDefault="0003161E" w:rsidP="00BD4F35">
            <w:pPr>
              <w:pStyle w:val="ListParagraph"/>
              <w:ind w:left="0"/>
              <w:rPr>
                <w:rFonts w:ascii="Cambria" w:hAnsi="Cambria"/>
                <w:b/>
              </w:rPr>
            </w:pPr>
            <w:r>
              <w:rPr>
                <w:rFonts w:ascii="Cambria" w:hAnsi="Cambria"/>
                <w:b/>
              </w:rPr>
              <w:t xml:space="preserve">                         </w:t>
            </w:r>
            <w:r w:rsidRPr="00BE510B">
              <w:rPr>
                <w:rFonts w:ascii="Cambria" w:hAnsi="Cambria"/>
                <w:b/>
              </w:rPr>
              <w:t>Strategy</w:t>
            </w:r>
          </w:p>
        </w:tc>
        <w:tc>
          <w:tcPr>
            <w:tcW w:w="1980" w:type="dxa"/>
          </w:tcPr>
          <w:p w14:paraId="2C8E0EC5" w14:textId="77777777" w:rsidR="0003161E" w:rsidRPr="00BE510B" w:rsidRDefault="0003161E" w:rsidP="00BD4F35">
            <w:pPr>
              <w:pStyle w:val="ListParagraph"/>
              <w:ind w:left="0"/>
              <w:jc w:val="center"/>
              <w:rPr>
                <w:rFonts w:ascii="Cambria" w:hAnsi="Cambria"/>
                <w:b/>
              </w:rPr>
            </w:pPr>
            <w:r w:rsidRPr="00BE510B">
              <w:rPr>
                <w:rFonts w:ascii="Cambria" w:hAnsi="Cambria"/>
                <w:b/>
              </w:rPr>
              <w:t>Yes or No</w:t>
            </w:r>
          </w:p>
        </w:tc>
      </w:tr>
      <w:tr w:rsidR="0003161E" w:rsidRPr="00BE510B" w14:paraId="4A79A1DD" w14:textId="77777777" w:rsidTr="00BD4F35">
        <w:tc>
          <w:tcPr>
            <w:tcW w:w="9900" w:type="dxa"/>
            <w:gridSpan w:val="3"/>
            <w:shd w:val="clear" w:color="auto" w:fill="F2F2F2" w:themeFill="background1" w:themeFillShade="F2"/>
          </w:tcPr>
          <w:p w14:paraId="0DF35111" w14:textId="77777777" w:rsidR="0003161E" w:rsidRPr="00BE510B" w:rsidRDefault="0003161E" w:rsidP="00BD4F35">
            <w:pPr>
              <w:pStyle w:val="ListParagraph"/>
              <w:ind w:left="0"/>
              <w:jc w:val="center"/>
              <w:rPr>
                <w:rFonts w:ascii="Cambria" w:hAnsi="Cambria"/>
                <w:i/>
              </w:rPr>
            </w:pPr>
            <w:r w:rsidRPr="00BE510B">
              <w:rPr>
                <w:rFonts w:ascii="Cambria" w:hAnsi="Cambria"/>
                <w:i/>
              </w:rPr>
              <w:t xml:space="preserve">              Character &amp; Design</w:t>
            </w:r>
          </w:p>
        </w:tc>
      </w:tr>
      <w:tr w:rsidR="0003161E" w:rsidRPr="00BE510B" w14:paraId="38084EE7" w14:textId="77777777" w:rsidTr="00BD4F35">
        <w:tc>
          <w:tcPr>
            <w:tcW w:w="3510" w:type="dxa"/>
          </w:tcPr>
          <w:p w14:paraId="374366F7" w14:textId="77777777" w:rsidR="0003161E" w:rsidRPr="00BE510B" w:rsidRDefault="0003161E" w:rsidP="00BD4F35">
            <w:pPr>
              <w:rPr>
                <w:rFonts w:ascii="Cambria" w:hAnsi="Cambria"/>
                <w:sz w:val="20"/>
              </w:rPr>
            </w:pPr>
            <w:r w:rsidRPr="00BE510B">
              <w:rPr>
                <w:rFonts w:ascii="Cambria" w:hAnsi="Cambria"/>
                <w:sz w:val="20"/>
              </w:rPr>
              <w:t>Ensure areas outside town limits but within ETJ are preserved</w:t>
            </w:r>
            <w:r>
              <w:rPr>
                <w:rFonts w:ascii="Cambria" w:hAnsi="Cambria"/>
                <w:sz w:val="20"/>
              </w:rPr>
              <w:t>.</w:t>
            </w:r>
          </w:p>
        </w:tc>
        <w:tc>
          <w:tcPr>
            <w:tcW w:w="4410" w:type="dxa"/>
          </w:tcPr>
          <w:p w14:paraId="2FD1D6BE" w14:textId="77777777" w:rsidR="0003161E" w:rsidRPr="00BE510B" w:rsidRDefault="0003161E" w:rsidP="00BD4F35">
            <w:pPr>
              <w:pStyle w:val="ListParagraph"/>
              <w:ind w:left="0"/>
              <w:rPr>
                <w:rFonts w:ascii="Cambria" w:hAnsi="Cambria"/>
                <w:sz w:val="20"/>
              </w:rPr>
            </w:pPr>
            <w:r w:rsidRPr="00BE510B">
              <w:rPr>
                <w:rFonts w:ascii="Cambria" w:hAnsi="Cambria"/>
                <w:sz w:val="20"/>
              </w:rPr>
              <w:t>Update zoning map to clearly delineate each district</w:t>
            </w:r>
            <w:r>
              <w:rPr>
                <w:rFonts w:ascii="Cambria" w:hAnsi="Cambria"/>
                <w:sz w:val="20"/>
              </w:rPr>
              <w:t>.</w:t>
            </w:r>
          </w:p>
        </w:tc>
        <w:tc>
          <w:tcPr>
            <w:tcW w:w="1980" w:type="dxa"/>
          </w:tcPr>
          <w:p w14:paraId="2027F5AA" w14:textId="6499D952" w:rsidR="0003161E" w:rsidRPr="00BE510B" w:rsidRDefault="0003161E" w:rsidP="00BD4F35">
            <w:pPr>
              <w:pStyle w:val="ListParagraph"/>
              <w:ind w:left="0"/>
              <w:rPr>
                <w:rFonts w:ascii="Cambria" w:hAnsi="Cambria"/>
                <w:sz w:val="20"/>
              </w:rPr>
            </w:pPr>
            <w:r>
              <w:rPr>
                <w:rFonts w:ascii="Cambria" w:hAnsi="Cambria"/>
                <w:sz w:val="20"/>
              </w:rPr>
              <w:t>No</w:t>
            </w:r>
          </w:p>
        </w:tc>
      </w:tr>
      <w:tr w:rsidR="0003161E" w:rsidRPr="00BE510B" w14:paraId="790AFE90" w14:textId="77777777" w:rsidTr="00BD4F35">
        <w:tc>
          <w:tcPr>
            <w:tcW w:w="3510" w:type="dxa"/>
          </w:tcPr>
          <w:p w14:paraId="31C7CD15" w14:textId="77777777" w:rsidR="0003161E" w:rsidRPr="00BE510B" w:rsidRDefault="0003161E" w:rsidP="00BD4F35">
            <w:pPr>
              <w:autoSpaceDE w:val="0"/>
              <w:autoSpaceDN w:val="0"/>
              <w:adjustRightInd w:val="0"/>
              <w:rPr>
                <w:rFonts w:ascii="Cambria" w:hAnsi="Cambria" w:cs="Montserrat"/>
                <w:color w:val="000000"/>
                <w:sz w:val="20"/>
              </w:rPr>
            </w:pPr>
            <w:r w:rsidRPr="00BE510B">
              <w:rPr>
                <w:rFonts w:ascii="Cambria" w:hAnsi="Cambria" w:cs="Montserrat"/>
                <w:color w:val="221E1F"/>
                <w:sz w:val="20"/>
              </w:rPr>
              <w:t>Guide design of new and renovated struc</w:t>
            </w:r>
            <w:r w:rsidRPr="00BE510B">
              <w:rPr>
                <w:rFonts w:ascii="Cambria" w:hAnsi="Cambria" w:cs="Montserrat"/>
                <w:color w:val="221E1F"/>
                <w:sz w:val="20"/>
              </w:rPr>
              <w:softHyphen/>
              <w:t>tures to foster consistency</w:t>
            </w:r>
            <w:r>
              <w:rPr>
                <w:rFonts w:ascii="Cambria" w:hAnsi="Cambria" w:cs="Montserrat"/>
                <w:color w:val="221E1F"/>
                <w:sz w:val="20"/>
              </w:rPr>
              <w:t>.</w:t>
            </w:r>
          </w:p>
        </w:tc>
        <w:tc>
          <w:tcPr>
            <w:tcW w:w="4410" w:type="dxa"/>
          </w:tcPr>
          <w:p w14:paraId="59137E50" w14:textId="77777777" w:rsidR="0003161E" w:rsidRPr="00BE510B" w:rsidRDefault="0003161E" w:rsidP="00BD4F35">
            <w:pPr>
              <w:autoSpaceDE w:val="0"/>
              <w:autoSpaceDN w:val="0"/>
              <w:adjustRightInd w:val="0"/>
              <w:rPr>
                <w:rFonts w:ascii="Cambria" w:hAnsi="Cambria" w:cs="Montserrat"/>
                <w:color w:val="000000"/>
                <w:sz w:val="20"/>
              </w:rPr>
            </w:pPr>
            <w:r w:rsidRPr="00BE510B">
              <w:rPr>
                <w:rFonts w:ascii="Cambria" w:hAnsi="Cambria" w:cs="Montserrat"/>
                <w:color w:val="221E1F"/>
                <w:sz w:val="20"/>
              </w:rPr>
              <w:t>Create "Montreat Manual" for land development standards</w:t>
            </w:r>
            <w:r>
              <w:rPr>
                <w:rFonts w:ascii="Cambria" w:hAnsi="Cambria" w:cs="Montserrat"/>
                <w:color w:val="221E1F"/>
                <w:sz w:val="20"/>
              </w:rPr>
              <w:t>.</w:t>
            </w:r>
          </w:p>
        </w:tc>
        <w:tc>
          <w:tcPr>
            <w:tcW w:w="1980" w:type="dxa"/>
          </w:tcPr>
          <w:p w14:paraId="5BE19B2D" w14:textId="0E561CB1" w:rsidR="0003161E" w:rsidRPr="00BE510B" w:rsidRDefault="007E639B" w:rsidP="00BD4F35">
            <w:pPr>
              <w:pStyle w:val="ListParagraph"/>
              <w:ind w:left="0"/>
              <w:rPr>
                <w:rFonts w:ascii="Cambria" w:hAnsi="Cambria"/>
                <w:sz w:val="20"/>
              </w:rPr>
            </w:pPr>
            <w:r>
              <w:rPr>
                <w:rFonts w:ascii="Cambria" w:hAnsi="Cambria"/>
                <w:sz w:val="20"/>
              </w:rPr>
              <w:t>No</w:t>
            </w:r>
          </w:p>
        </w:tc>
      </w:tr>
      <w:tr w:rsidR="0003161E" w:rsidRPr="00BE510B" w14:paraId="43D2ABCB" w14:textId="77777777" w:rsidTr="00BD4F35">
        <w:tc>
          <w:tcPr>
            <w:tcW w:w="3510" w:type="dxa"/>
          </w:tcPr>
          <w:p w14:paraId="35D4C5C3" w14:textId="77777777" w:rsidR="0003161E" w:rsidRPr="00BE510B" w:rsidRDefault="0003161E" w:rsidP="00BD4F35">
            <w:pPr>
              <w:autoSpaceDE w:val="0"/>
              <w:autoSpaceDN w:val="0"/>
              <w:adjustRightInd w:val="0"/>
              <w:rPr>
                <w:rFonts w:ascii="Cambria" w:hAnsi="Cambria" w:cs="Montserrat"/>
                <w:color w:val="000000"/>
                <w:sz w:val="20"/>
              </w:rPr>
            </w:pPr>
            <w:r w:rsidRPr="00BE510B">
              <w:rPr>
                <w:rFonts w:ascii="Cambria" w:hAnsi="Cambria" w:cs="Montserrat"/>
                <w:color w:val="221E1F"/>
                <w:sz w:val="20"/>
              </w:rPr>
              <w:t>Preserve the character of Assembly Drive</w:t>
            </w:r>
            <w:r>
              <w:rPr>
                <w:rFonts w:ascii="Cambria" w:hAnsi="Cambria" w:cs="Montserrat"/>
                <w:color w:val="221E1F"/>
                <w:sz w:val="20"/>
              </w:rPr>
              <w:t>.</w:t>
            </w:r>
          </w:p>
        </w:tc>
        <w:tc>
          <w:tcPr>
            <w:tcW w:w="4410" w:type="dxa"/>
          </w:tcPr>
          <w:p w14:paraId="3EB38F99" w14:textId="77777777" w:rsidR="0003161E" w:rsidRPr="00BE510B" w:rsidRDefault="0003161E" w:rsidP="00BD4F35">
            <w:pPr>
              <w:autoSpaceDE w:val="0"/>
              <w:autoSpaceDN w:val="0"/>
              <w:adjustRightInd w:val="0"/>
              <w:rPr>
                <w:rFonts w:ascii="Cambria" w:hAnsi="Cambria" w:cs="Montserrat"/>
                <w:color w:val="000000"/>
                <w:sz w:val="20"/>
              </w:rPr>
            </w:pPr>
            <w:r w:rsidRPr="00BE510B">
              <w:rPr>
                <w:rFonts w:ascii="Cambria" w:hAnsi="Cambria" w:cs="Montserrat"/>
                <w:color w:val="221E1F"/>
                <w:sz w:val="20"/>
              </w:rPr>
              <w:t>Create an Overlay District that allows for a variety of uses</w:t>
            </w:r>
            <w:r>
              <w:rPr>
                <w:rFonts w:ascii="Cambria" w:hAnsi="Cambria" w:cs="Montserrat"/>
                <w:color w:val="221E1F"/>
                <w:sz w:val="20"/>
              </w:rPr>
              <w:t>.</w:t>
            </w:r>
          </w:p>
        </w:tc>
        <w:tc>
          <w:tcPr>
            <w:tcW w:w="1980" w:type="dxa"/>
          </w:tcPr>
          <w:p w14:paraId="0998BE8C" w14:textId="2A661004" w:rsidR="0003161E" w:rsidRPr="00BE510B" w:rsidRDefault="000B62FF" w:rsidP="00BD4F35">
            <w:pPr>
              <w:pStyle w:val="ListParagraph"/>
              <w:ind w:left="0"/>
              <w:rPr>
                <w:rFonts w:ascii="Cambria" w:hAnsi="Cambria"/>
                <w:sz w:val="20"/>
              </w:rPr>
            </w:pPr>
            <w:r>
              <w:rPr>
                <w:rFonts w:ascii="Cambria" w:hAnsi="Cambria"/>
                <w:sz w:val="20"/>
              </w:rPr>
              <w:t>No</w:t>
            </w:r>
          </w:p>
        </w:tc>
      </w:tr>
      <w:tr w:rsidR="0003161E" w:rsidRPr="00BE510B" w14:paraId="18083AD9" w14:textId="77777777" w:rsidTr="00BD4F35">
        <w:tc>
          <w:tcPr>
            <w:tcW w:w="3510" w:type="dxa"/>
          </w:tcPr>
          <w:p w14:paraId="041567A9" w14:textId="77777777" w:rsidR="0003161E" w:rsidRPr="00BE510B" w:rsidRDefault="0003161E" w:rsidP="00BD4F35">
            <w:pPr>
              <w:pStyle w:val="ListParagraph"/>
              <w:ind w:left="0"/>
              <w:rPr>
                <w:rFonts w:ascii="Cambria" w:hAnsi="Cambria"/>
                <w:sz w:val="20"/>
              </w:rPr>
            </w:pPr>
            <w:r w:rsidRPr="00BE510B">
              <w:rPr>
                <w:rFonts w:ascii="Cambria" w:hAnsi="Cambria" w:cs="Montserrat"/>
                <w:color w:val="221E1F"/>
                <w:sz w:val="20"/>
              </w:rPr>
              <w:t>Preserve the character of Assembly Drive</w:t>
            </w:r>
            <w:r>
              <w:rPr>
                <w:rFonts w:ascii="Cambria" w:hAnsi="Cambria" w:cs="Montserrat"/>
                <w:color w:val="221E1F"/>
                <w:sz w:val="20"/>
              </w:rPr>
              <w:t>.</w:t>
            </w:r>
          </w:p>
        </w:tc>
        <w:tc>
          <w:tcPr>
            <w:tcW w:w="4410" w:type="dxa"/>
          </w:tcPr>
          <w:p w14:paraId="44367ADD" w14:textId="77777777" w:rsidR="0003161E" w:rsidRPr="00BE510B" w:rsidRDefault="0003161E" w:rsidP="00BD4F35">
            <w:pPr>
              <w:pStyle w:val="ListParagraph"/>
              <w:ind w:left="0"/>
              <w:rPr>
                <w:rFonts w:ascii="Cambria" w:hAnsi="Cambria"/>
                <w:sz w:val="20"/>
              </w:rPr>
            </w:pPr>
            <w:r w:rsidRPr="00BE510B">
              <w:rPr>
                <w:rFonts w:ascii="Cambria" w:hAnsi="Cambria" w:cs="Montserrat"/>
                <w:color w:val="221E1F"/>
                <w:sz w:val="20"/>
              </w:rPr>
              <w:t>Set standards for the Overlay District</w:t>
            </w:r>
            <w:r>
              <w:rPr>
                <w:rFonts w:ascii="Cambria" w:hAnsi="Cambria" w:cs="Montserrat"/>
                <w:color w:val="221E1F"/>
                <w:sz w:val="20"/>
              </w:rPr>
              <w:t>.</w:t>
            </w:r>
          </w:p>
        </w:tc>
        <w:tc>
          <w:tcPr>
            <w:tcW w:w="1980" w:type="dxa"/>
          </w:tcPr>
          <w:p w14:paraId="79143A29" w14:textId="2881404C" w:rsidR="0003161E" w:rsidRPr="00BE510B" w:rsidRDefault="000B62FF" w:rsidP="00BD4F35">
            <w:pPr>
              <w:pStyle w:val="ListParagraph"/>
              <w:ind w:left="0"/>
              <w:rPr>
                <w:rFonts w:ascii="Cambria" w:hAnsi="Cambria"/>
                <w:sz w:val="20"/>
              </w:rPr>
            </w:pPr>
            <w:r>
              <w:rPr>
                <w:rFonts w:ascii="Cambria" w:hAnsi="Cambria"/>
                <w:sz w:val="20"/>
              </w:rPr>
              <w:t>No</w:t>
            </w:r>
          </w:p>
        </w:tc>
      </w:tr>
      <w:tr w:rsidR="0003161E" w:rsidRPr="00BE510B" w14:paraId="675FD2E8" w14:textId="77777777" w:rsidTr="00BD4F35">
        <w:tc>
          <w:tcPr>
            <w:tcW w:w="9900" w:type="dxa"/>
            <w:gridSpan w:val="3"/>
            <w:shd w:val="clear" w:color="auto" w:fill="F2F2F2" w:themeFill="background1" w:themeFillShade="F2"/>
          </w:tcPr>
          <w:p w14:paraId="0EC6455E" w14:textId="77777777" w:rsidR="0003161E" w:rsidRPr="00BE510B" w:rsidRDefault="0003161E" w:rsidP="00BD4F35">
            <w:pPr>
              <w:pStyle w:val="ListParagraph"/>
              <w:ind w:left="0"/>
              <w:jc w:val="center"/>
              <w:rPr>
                <w:rFonts w:ascii="Cambria" w:hAnsi="Cambria"/>
                <w:i/>
              </w:rPr>
            </w:pPr>
            <w:r w:rsidRPr="00BE510B">
              <w:rPr>
                <w:rFonts w:ascii="Cambria" w:hAnsi="Cambria"/>
                <w:i/>
              </w:rPr>
              <w:t xml:space="preserve">         Housing</w:t>
            </w:r>
          </w:p>
        </w:tc>
      </w:tr>
      <w:tr w:rsidR="0003161E" w:rsidRPr="00BE510B" w14:paraId="0FD58452" w14:textId="77777777" w:rsidTr="00BD4F35">
        <w:tc>
          <w:tcPr>
            <w:tcW w:w="3510" w:type="dxa"/>
          </w:tcPr>
          <w:p w14:paraId="622AEB1E" w14:textId="77777777" w:rsidR="0003161E" w:rsidRPr="00BE510B" w:rsidRDefault="0003161E" w:rsidP="00BD4F35">
            <w:pPr>
              <w:pStyle w:val="Pa4"/>
              <w:jc w:val="both"/>
              <w:rPr>
                <w:rFonts w:ascii="Cambria" w:hAnsi="Cambria"/>
                <w:color w:val="221E1F"/>
                <w:sz w:val="20"/>
                <w:szCs w:val="22"/>
              </w:rPr>
            </w:pPr>
            <w:r w:rsidRPr="00BE510B">
              <w:rPr>
                <w:rFonts w:ascii="Cambria" w:hAnsi="Cambria" w:cs="Montserrat"/>
                <w:color w:val="221E1F"/>
                <w:sz w:val="20"/>
                <w:szCs w:val="22"/>
              </w:rPr>
              <w:t>Allow variety of residential dwelling types to increase housing diversity</w:t>
            </w:r>
            <w:r>
              <w:rPr>
                <w:rFonts w:ascii="Cambria" w:hAnsi="Cambria" w:cs="Montserrat"/>
                <w:color w:val="221E1F"/>
                <w:sz w:val="20"/>
                <w:szCs w:val="22"/>
              </w:rPr>
              <w:t>.</w:t>
            </w:r>
          </w:p>
        </w:tc>
        <w:tc>
          <w:tcPr>
            <w:tcW w:w="4410" w:type="dxa"/>
          </w:tcPr>
          <w:p w14:paraId="238AB9C3" w14:textId="77777777" w:rsidR="0003161E" w:rsidRPr="00BE510B" w:rsidRDefault="0003161E" w:rsidP="00BD4F35">
            <w:pPr>
              <w:pStyle w:val="Pa4"/>
              <w:jc w:val="both"/>
              <w:rPr>
                <w:rFonts w:ascii="Cambria" w:hAnsi="Cambria"/>
                <w:color w:val="221E1F"/>
                <w:sz w:val="20"/>
                <w:szCs w:val="22"/>
              </w:rPr>
            </w:pPr>
            <w:r w:rsidRPr="00BE510B">
              <w:rPr>
                <w:rFonts w:ascii="Cambria" w:hAnsi="Cambria" w:cs="Montserrat"/>
                <w:color w:val="221E1F"/>
                <w:sz w:val="20"/>
                <w:szCs w:val="22"/>
              </w:rPr>
              <w:t>Modify ordinance to allow townhomes in Town Center 3 for higher density</w:t>
            </w:r>
            <w:r>
              <w:rPr>
                <w:rFonts w:ascii="Cambria" w:hAnsi="Cambria" w:cs="Montserrat"/>
                <w:color w:val="221E1F"/>
                <w:sz w:val="20"/>
                <w:szCs w:val="22"/>
              </w:rPr>
              <w:t>.</w:t>
            </w:r>
          </w:p>
        </w:tc>
        <w:tc>
          <w:tcPr>
            <w:tcW w:w="1980" w:type="dxa"/>
          </w:tcPr>
          <w:p w14:paraId="1C053BD8" w14:textId="1D9C245F" w:rsidR="0003161E" w:rsidRPr="00BE510B" w:rsidRDefault="00F44BAB" w:rsidP="00BD4F35">
            <w:pPr>
              <w:pStyle w:val="ListParagraph"/>
              <w:ind w:left="0"/>
              <w:rPr>
                <w:rFonts w:ascii="Cambria" w:hAnsi="Cambria"/>
                <w:sz w:val="20"/>
              </w:rPr>
            </w:pPr>
            <w:r>
              <w:rPr>
                <w:rFonts w:ascii="Cambria" w:hAnsi="Cambria"/>
                <w:sz w:val="20"/>
              </w:rPr>
              <w:t>Yes</w:t>
            </w:r>
          </w:p>
        </w:tc>
      </w:tr>
      <w:tr w:rsidR="0003161E" w:rsidRPr="00BE510B" w14:paraId="6609CDDF" w14:textId="77777777" w:rsidTr="00BD4F35">
        <w:tc>
          <w:tcPr>
            <w:tcW w:w="3510" w:type="dxa"/>
          </w:tcPr>
          <w:p w14:paraId="0D41EFC5" w14:textId="77777777" w:rsidR="0003161E" w:rsidRPr="00BE510B" w:rsidRDefault="0003161E" w:rsidP="00BD4F35">
            <w:pPr>
              <w:pStyle w:val="Pa4"/>
              <w:jc w:val="both"/>
              <w:rPr>
                <w:rFonts w:ascii="Cambria" w:hAnsi="Cambria"/>
                <w:color w:val="221E1F"/>
                <w:sz w:val="20"/>
                <w:szCs w:val="22"/>
              </w:rPr>
            </w:pPr>
            <w:r w:rsidRPr="00BE510B">
              <w:rPr>
                <w:rFonts w:ascii="Cambria" w:hAnsi="Cambria" w:cs="Montserrat"/>
                <w:color w:val="221E1F"/>
                <w:sz w:val="20"/>
                <w:szCs w:val="22"/>
              </w:rPr>
              <w:t>Allow variety of residential dwelling types to increase housing diversity</w:t>
            </w:r>
            <w:r>
              <w:rPr>
                <w:rFonts w:ascii="Cambria" w:hAnsi="Cambria" w:cs="Montserrat"/>
                <w:color w:val="221E1F"/>
                <w:sz w:val="20"/>
                <w:szCs w:val="22"/>
              </w:rPr>
              <w:t>.</w:t>
            </w:r>
          </w:p>
        </w:tc>
        <w:tc>
          <w:tcPr>
            <w:tcW w:w="4410" w:type="dxa"/>
          </w:tcPr>
          <w:p w14:paraId="359811F6" w14:textId="77777777" w:rsidR="0003161E" w:rsidRPr="00BE510B" w:rsidRDefault="0003161E" w:rsidP="00BD4F35">
            <w:pPr>
              <w:pStyle w:val="Pa4"/>
              <w:jc w:val="both"/>
              <w:rPr>
                <w:rFonts w:ascii="Cambria" w:hAnsi="Cambria"/>
                <w:color w:val="221E1F"/>
                <w:sz w:val="20"/>
                <w:szCs w:val="22"/>
              </w:rPr>
            </w:pPr>
            <w:r w:rsidRPr="00BE510B">
              <w:rPr>
                <w:rFonts w:ascii="Cambria" w:hAnsi="Cambria" w:cs="Montserrat"/>
                <w:color w:val="221E1F"/>
                <w:sz w:val="20"/>
                <w:szCs w:val="22"/>
              </w:rPr>
              <w:t>Allow for student housing in Town Center 2 area</w:t>
            </w:r>
            <w:r>
              <w:rPr>
                <w:rFonts w:ascii="Cambria" w:hAnsi="Cambria" w:cs="Montserrat"/>
                <w:color w:val="221E1F"/>
                <w:sz w:val="20"/>
                <w:szCs w:val="22"/>
              </w:rPr>
              <w:t>.</w:t>
            </w:r>
          </w:p>
        </w:tc>
        <w:tc>
          <w:tcPr>
            <w:tcW w:w="1980" w:type="dxa"/>
          </w:tcPr>
          <w:p w14:paraId="25F5E974" w14:textId="0A2C0364" w:rsidR="0003161E" w:rsidRPr="00BE510B" w:rsidRDefault="00F44BAB" w:rsidP="00BD4F35">
            <w:pPr>
              <w:pStyle w:val="ListParagraph"/>
              <w:ind w:left="0"/>
              <w:rPr>
                <w:rFonts w:ascii="Cambria" w:hAnsi="Cambria"/>
                <w:sz w:val="20"/>
              </w:rPr>
            </w:pPr>
            <w:r>
              <w:rPr>
                <w:rFonts w:ascii="Cambria" w:hAnsi="Cambria"/>
                <w:sz w:val="20"/>
              </w:rPr>
              <w:t>Yes</w:t>
            </w:r>
          </w:p>
        </w:tc>
      </w:tr>
      <w:tr w:rsidR="0003161E" w:rsidRPr="00BE510B" w14:paraId="28D106D5" w14:textId="77777777" w:rsidTr="00BD4F35">
        <w:tc>
          <w:tcPr>
            <w:tcW w:w="9900" w:type="dxa"/>
            <w:gridSpan w:val="3"/>
            <w:shd w:val="clear" w:color="auto" w:fill="F2F2F2" w:themeFill="background1" w:themeFillShade="F2"/>
          </w:tcPr>
          <w:p w14:paraId="212BCFD6" w14:textId="77777777" w:rsidR="0003161E" w:rsidRPr="00BE510B" w:rsidRDefault="0003161E" w:rsidP="00BD4F35">
            <w:pPr>
              <w:pStyle w:val="Pa5"/>
              <w:jc w:val="center"/>
              <w:rPr>
                <w:rFonts w:ascii="Cambria" w:hAnsi="Cambria"/>
                <w:i/>
                <w:color w:val="221E1F"/>
                <w:sz w:val="22"/>
                <w:szCs w:val="22"/>
              </w:rPr>
            </w:pPr>
            <w:r w:rsidRPr="00BE510B">
              <w:rPr>
                <w:rStyle w:val="A1"/>
                <w:rFonts w:ascii="Cambria" w:hAnsi="Cambria"/>
                <w:i/>
                <w:sz w:val="22"/>
                <w:szCs w:val="22"/>
              </w:rPr>
              <w:t xml:space="preserve">  </w:t>
            </w:r>
            <w:r>
              <w:rPr>
                <w:rStyle w:val="A1"/>
                <w:rFonts w:ascii="Cambria" w:hAnsi="Cambria"/>
                <w:i/>
                <w:sz w:val="22"/>
                <w:szCs w:val="22"/>
              </w:rPr>
              <w:t xml:space="preserve">       </w:t>
            </w:r>
            <w:r w:rsidRPr="00BE510B">
              <w:rPr>
                <w:rStyle w:val="A1"/>
                <w:rFonts w:ascii="Cambria" w:hAnsi="Cambria"/>
                <w:i/>
                <w:sz w:val="22"/>
                <w:szCs w:val="22"/>
              </w:rPr>
              <w:t xml:space="preserve"> Traffic &amp; Mobility (Vehicular)</w:t>
            </w:r>
          </w:p>
        </w:tc>
      </w:tr>
      <w:tr w:rsidR="0003161E" w:rsidRPr="00BE510B" w14:paraId="76518971" w14:textId="77777777" w:rsidTr="00BD4F35">
        <w:tc>
          <w:tcPr>
            <w:tcW w:w="3510" w:type="dxa"/>
          </w:tcPr>
          <w:p w14:paraId="75FFD4CB" w14:textId="77777777" w:rsidR="0003161E" w:rsidRPr="00BE510B" w:rsidRDefault="0003161E" w:rsidP="00BD4F35">
            <w:pPr>
              <w:pStyle w:val="Pa4"/>
              <w:jc w:val="both"/>
              <w:rPr>
                <w:rFonts w:ascii="Cambria" w:hAnsi="Cambria"/>
                <w:color w:val="221E1F"/>
                <w:sz w:val="20"/>
                <w:szCs w:val="22"/>
              </w:rPr>
            </w:pPr>
            <w:r w:rsidRPr="00BE510B">
              <w:rPr>
                <w:rFonts w:ascii="Cambria" w:hAnsi="Cambria" w:cs="Montserrat"/>
                <w:color w:val="221E1F"/>
                <w:sz w:val="20"/>
                <w:szCs w:val="22"/>
              </w:rPr>
              <w:t>Evaluate platted but non-built streets for abandonment if not needed</w:t>
            </w:r>
            <w:r>
              <w:rPr>
                <w:rFonts w:ascii="Cambria" w:hAnsi="Cambria" w:cs="Montserrat"/>
                <w:color w:val="221E1F"/>
                <w:sz w:val="20"/>
                <w:szCs w:val="22"/>
              </w:rPr>
              <w:t>.</w:t>
            </w:r>
          </w:p>
        </w:tc>
        <w:tc>
          <w:tcPr>
            <w:tcW w:w="4410" w:type="dxa"/>
          </w:tcPr>
          <w:p w14:paraId="72937185" w14:textId="77777777" w:rsidR="0003161E" w:rsidRPr="00BE510B" w:rsidRDefault="0003161E" w:rsidP="00BD4F35">
            <w:pPr>
              <w:pStyle w:val="Pa4"/>
              <w:jc w:val="both"/>
              <w:rPr>
                <w:rFonts w:ascii="Cambria" w:hAnsi="Cambria"/>
                <w:color w:val="221E1F"/>
                <w:sz w:val="20"/>
                <w:szCs w:val="22"/>
              </w:rPr>
            </w:pPr>
            <w:r w:rsidRPr="00BE510B">
              <w:rPr>
                <w:rFonts w:ascii="Cambria" w:hAnsi="Cambria" w:cs="Montserrat"/>
                <w:color w:val="221E1F"/>
                <w:sz w:val="20"/>
                <w:szCs w:val="22"/>
              </w:rPr>
              <w:t>Inventory all platted but non-built streets</w:t>
            </w:r>
            <w:r>
              <w:rPr>
                <w:rFonts w:ascii="Cambria" w:hAnsi="Cambria" w:cs="Montserrat"/>
                <w:color w:val="221E1F"/>
                <w:sz w:val="20"/>
                <w:szCs w:val="22"/>
              </w:rPr>
              <w:t>.</w:t>
            </w:r>
          </w:p>
        </w:tc>
        <w:tc>
          <w:tcPr>
            <w:tcW w:w="1980" w:type="dxa"/>
          </w:tcPr>
          <w:p w14:paraId="1D76EC3C" w14:textId="558AD39E" w:rsidR="0003161E" w:rsidRPr="00BE510B" w:rsidRDefault="00F44BAB" w:rsidP="00BD4F35">
            <w:pPr>
              <w:pStyle w:val="ListParagraph"/>
              <w:ind w:left="0"/>
              <w:rPr>
                <w:rFonts w:ascii="Cambria" w:hAnsi="Cambria"/>
                <w:sz w:val="20"/>
              </w:rPr>
            </w:pPr>
            <w:r>
              <w:rPr>
                <w:rFonts w:ascii="Cambria" w:hAnsi="Cambria"/>
                <w:sz w:val="20"/>
              </w:rPr>
              <w:t>Yes</w:t>
            </w:r>
          </w:p>
        </w:tc>
      </w:tr>
      <w:tr w:rsidR="0003161E" w:rsidRPr="00BE510B" w14:paraId="704ED55E" w14:textId="77777777" w:rsidTr="00BD4F35">
        <w:tc>
          <w:tcPr>
            <w:tcW w:w="3510" w:type="dxa"/>
          </w:tcPr>
          <w:p w14:paraId="3112B77A" w14:textId="77777777" w:rsidR="0003161E" w:rsidRPr="00BE510B" w:rsidRDefault="0003161E" w:rsidP="00BD4F35">
            <w:pPr>
              <w:pStyle w:val="Pa4"/>
              <w:jc w:val="both"/>
              <w:rPr>
                <w:rFonts w:ascii="Cambria" w:hAnsi="Cambria"/>
                <w:color w:val="221E1F"/>
                <w:sz w:val="20"/>
                <w:szCs w:val="22"/>
              </w:rPr>
            </w:pPr>
            <w:r w:rsidRPr="00BE510B">
              <w:rPr>
                <w:rFonts w:ascii="Cambria" w:hAnsi="Cambria" w:cs="Montserrat"/>
                <w:color w:val="221E1F"/>
                <w:sz w:val="20"/>
                <w:szCs w:val="22"/>
              </w:rPr>
              <w:t>Evaluate platted but non-built streets for abandonment if not needed</w:t>
            </w:r>
            <w:r>
              <w:rPr>
                <w:rFonts w:ascii="Cambria" w:hAnsi="Cambria" w:cs="Montserrat"/>
                <w:color w:val="221E1F"/>
                <w:sz w:val="20"/>
                <w:szCs w:val="22"/>
              </w:rPr>
              <w:t>.</w:t>
            </w:r>
          </w:p>
        </w:tc>
        <w:tc>
          <w:tcPr>
            <w:tcW w:w="4410" w:type="dxa"/>
          </w:tcPr>
          <w:p w14:paraId="36158DE0" w14:textId="77777777" w:rsidR="0003161E" w:rsidRPr="00BE510B" w:rsidRDefault="0003161E" w:rsidP="00BD4F35">
            <w:pPr>
              <w:pStyle w:val="Pa4"/>
              <w:jc w:val="both"/>
              <w:rPr>
                <w:rFonts w:ascii="Cambria" w:hAnsi="Cambria"/>
                <w:color w:val="221E1F"/>
                <w:sz w:val="20"/>
                <w:szCs w:val="22"/>
              </w:rPr>
            </w:pPr>
            <w:r w:rsidRPr="00BE510B">
              <w:rPr>
                <w:rFonts w:ascii="Cambria" w:hAnsi="Cambria" w:cs="Montserrat"/>
                <w:color w:val="221E1F"/>
                <w:sz w:val="20"/>
                <w:szCs w:val="22"/>
              </w:rPr>
              <w:t>Rank order all platted but non-built streets by usage</w:t>
            </w:r>
            <w:r>
              <w:rPr>
                <w:rFonts w:ascii="Cambria" w:hAnsi="Cambria" w:cs="Montserrat"/>
                <w:color w:val="221E1F"/>
                <w:sz w:val="20"/>
                <w:szCs w:val="22"/>
              </w:rPr>
              <w:t>.</w:t>
            </w:r>
          </w:p>
        </w:tc>
        <w:tc>
          <w:tcPr>
            <w:tcW w:w="1980" w:type="dxa"/>
          </w:tcPr>
          <w:p w14:paraId="73F099F2" w14:textId="49E52865" w:rsidR="0003161E" w:rsidRPr="00BE510B" w:rsidRDefault="00F44BAB" w:rsidP="00BD4F35">
            <w:pPr>
              <w:pStyle w:val="ListParagraph"/>
              <w:ind w:left="0"/>
              <w:rPr>
                <w:rFonts w:ascii="Cambria" w:hAnsi="Cambria"/>
                <w:sz w:val="20"/>
              </w:rPr>
            </w:pPr>
            <w:r>
              <w:rPr>
                <w:rFonts w:ascii="Cambria" w:hAnsi="Cambria"/>
                <w:sz w:val="20"/>
              </w:rPr>
              <w:t>No</w:t>
            </w:r>
          </w:p>
        </w:tc>
      </w:tr>
      <w:tr w:rsidR="0003161E" w:rsidRPr="00BE510B" w14:paraId="32F74BD6" w14:textId="77777777" w:rsidTr="00BD4F35">
        <w:tc>
          <w:tcPr>
            <w:tcW w:w="3510" w:type="dxa"/>
          </w:tcPr>
          <w:p w14:paraId="1B5C6C1D" w14:textId="77777777" w:rsidR="0003161E" w:rsidRPr="00BE510B" w:rsidRDefault="0003161E" w:rsidP="00BD4F35">
            <w:pPr>
              <w:pStyle w:val="Pa4"/>
              <w:jc w:val="both"/>
              <w:rPr>
                <w:rFonts w:ascii="Cambria" w:hAnsi="Cambria"/>
                <w:color w:val="221E1F"/>
                <w:sz w:val="20"/>
                <w:szCs w:val="22"/>
              </w:rPr>
            </w:pPr>
            <w:r w:rsidRPr="00BE510B">
              <w:rPr>
                <w:rFonts w:ascii="Cambria" w:hAnsi="Cambria" w:cs="Montserrat"/>
                <w:color w:val="221E1F"/>
                <w:sz w:val="20"/>
                <w:szCs w:val="22"/>
              </w:rPr>
              <w:lastRenderedPageBreak/>
              <w:t>Evaluate placing weight limits on streets to minimize damage impact</w:t>
            </w:r>
            <w:r>
              <w:rPr>
                <w:rFonts w:ascii="Cambria" w:hAnsi="Cambria" w:cs="Montserrat"/>
                <w:color w:val="221E1F"/>
                <w:sz w:val="20"/>
                <w:szCs w:val="22"/>
              </w:rPr>
              <w:t>.</w:t>
            </w:r>
          </w:p>
        </w:tc>
        <w:tc>
          <w:tcPr>
            <w:tcW w:w="4410" w:type="dxa"/>
          </w:tcPr>
          <w:p w14:paraId="43AC5CD7" w14:textId="77777777" w:rsidR="0003161E" w:rsidRPr="00BE510B" w:rsidRDefault="0003161E" w:rsidP="00BD4F35">
            <w:pPr>
              <w:pStyle w:val="Pa4"/>
              <w:jc w:val="both"/>
              <w:rPr>
                <w:rFonts w:ascii="Cambria" w:hAnsi="Cambria"/>
                <w:color w:val="221E1F"/>
                <w:sz w:val="20"/>
                <w:szCs w:val="22"/>
              </w:rPr>
            </w:pPr>
            <w:r w:rsidRPr="00BE510B">
              <w:rPr>
                <w:rFonts w:ascii="Cambria" w:hAnsi="Cambria" w:cs="Montserrat"/>
                <w:color w:val="221E1F"/>
                <w:sz w:val="20"/>
                <w:szCs w:val="22"/>
              </w:rPr>
              <w:t>Conduct geotechnical study to evaluate acceptable weight</w:t>
            </w:r>
            <w:r>
              <w:rPr>
                <w:rFonts w:ascii="Cambria" w:hAnsi="Cambria" w:cs="Montserrat"/>
                <w:color w:val="221E1F"/>
                <w:sz w:val="20"/>
                <w:szCs w:val="22"/>
              </w:rPr>
              <w:t>.</w:t>
            </w:r>
          </w:p>
        </w:tc>
        <w:tc>
          <w:tcPr>
            <w:tcW w:w="1980" w:type="dxa"/>
          </w:tcPr>
          <w:p w14:paraId="467288CF" w14:textId="2338FBCD" w:rsidR="0003161E" w:rsidRPr="00BE510B" w:rsidRDefault="0084081E" w:rsidP="00BD4F35">
            <w:pPr>
              <w:pStyle w:val="ListParagraph"/>
              <w:ind w:left="0"/>
              <w:rPr>
                <w:rFonts w:ascii="Cambria" w:hAnsi="Cambria"/>
                <w:sz w:val="20"/>
              </w:rPr>
            </w:pPr>
            <w:r>
              <w:rPr>
                <w:rFonts w:ascii="Cambria" w:hAnsi="Cambria"/>
                <w:sz w:val="20"/>
              </w:rPr>
              <w:t>No</w:t>
            </w:r>
          </w:p>
        </w:tc>
      </w:tr>
    </w:tbl>
    <w:p w14:paraId="53AF739F" w14:textId="77777777" w:rsidR="0003161E" w:rsidRDefault="0003161E" w:rsidP="009B057C">
      <w:pPr>
        <w:widowControl w:val="0"/>
        <w:jc w:val="left"/>
        <w:outlineLvl w:val="0"/>
        <w:rPr>
          <w:rFonts w:asciiTheme="minorHAnsi" w:hAnsiTheme="minorHAnsi" w:cs="Calibri"/>
          <w:szCs w:val="24"/>
        </w:rPr>
      </w:pPr>
    </w:p>
    <w:tbl>
      <w:tblPr>
        <w:tblStyle w:val="TableGrid"/>
        <w:tblpPr w:leftFromText="180" w:rightFromText="180" w:vertAnchor="text" w:horzAnchor="margin" w:tblpY="138"/>
        <w:tblW w:w="9900" w:type="dxa"/>
        <w:tblLook w:val="04A0" w:firstRow="1" w:lastRow="0" w:firstColumn="1" w:lastColumn="0" w:noHBand="0" w:noVBand="1"/>
      </w:tblPr>
      <w:tblGrid>
        <w:gridCol w:w="3510"/>
        <w:gridCol w:w="4050"/>
        <w:gridCol w:w="2340"/>
      </w:tblGrid>
      <w:tr w:rsidR="0003161E" w:rsidRPr="00BE510B" w14:paraId="793B1004" w14:textId="77777777" w:rsidTr="00BD4F35">
        <w:tc>
          <w:tcPr>
            <w:tcW w:w="9900" w:type="dxa"/>
            <w:gridSpan w:val="3"/>
            <w:shd w:val="clear" w:color="auto" w:fill="D9D9D9" w:themeFill="background1" w:themeFillShade="D9"/>
          </w:tcPr>
          <w:p w14:paraId="7BE77331" w14:textId="77777777" w:rsidR="0003161E" w:rsidRPr="00BE510B" w:rsidRDefault="0003161E" w:rsidP="00BD4F35">
            <w:pPr>
              <w:pStyle w:val="ListParagraph"/>
              <w:ind w:left="0"/>
              <w:jc w:val="center"/>
              <w:rPr>
                <w:rFonts w:asciiTheme="majorHAnsi" w:hAnsiTheme="majorHAnsi"/>
                <w:b/>
              </w:rPr>
            </w:pPr>
            <w:r>
              <w:rPr>
                <w:rFonts w:asciiTheme="majorHAnsi" w:hAnsiTheme="majorHAnsi"/>
                <w:b/>
              </w:rPr>
              <w:t xml:space="preserve">               </w:t>
            </w:r>
            <w:r w:rsidRPr="00BE510B">
              <w:rPr>
                <w:rFonts w:asciiTheme="majorHAnsi" w:hAnsiTheme="majorHAnsi"/>
                <w:b/>
              </w:rPr>
              <w:t>FUNDING RESOURCES</w:t>
            </w:r>
          </w:p>
        </w:tc>
      </w:tr>
      <w:tr w:rsidR="0003161E" w:rsidRPr="00BE510B" w14:paraId="1F9C7DD0" w14:textId="77777777" w:rsidTr="00BD4F35">
        <w:tc>
          <w:tcPr>
            <w:tcW w:w="3510" w:type="dxa"/>
          </w:tcPr>
          <w:p w14:paraId="69E254F9" w14:textId="77777777" w:rsidR="0003161E" w:rsidRPr="00BE510B" w:rsidRDefault="0003161E" w:rsidP="00BD4F35">
            <w:pPr>
              <w:pStyle w:val="ListParagraph"/>
              <w:ind w:left="0"/>
              <w:jc w:val="center"/>
              <w:rPr>
                <w:rFonts w:asciiTheme="majorHAnsi" w:hAnsiTheme="majorHAnsi"/>
                <w:b/>
              </w:rPr>
            </w:pPr>
            <w:r w:rsidRPr="00BE510B">
              <w:rPr>
                <w:rFonts w:asciiTheme="majorHAnsi" w:hAnsiTheme="majorHAnsi"/>
                <w:b/>
              </w:rPr>
              <w:t>Recommendation</w:t>
            </w:r>
          </w:p>
        </w:tc>
        <w:tc>
          <w:tcPr>
            <w:tcW w:w="4050" w:type="dxa"/>
          </w:tcPr>
          <w:p w14:paraId="2AE2C779" w14:textId="77777777" w:rsidR="0003161E" w:rsidRPr="00BE510B" w:rsidRDefault="0003161E" w:rsidP="00BD4F35">
            <w:pPr>
              <w:pStyle w:val="ListParagraph"/>
              <w:ind w:left="0"/>
              <w:jc w:val="center"/>
              <w:rPr>
                <w:rFonts w:asciiTheme="majorHAnsi" w:hAnsiTheme="majorHAnsi"/>
                <w:b/>
              </w:rPr>
            </w:pPr>
            <w:r w:rsidRPr="00BE510B">
              <w:rPr>
                <w:rFonts w:asciiTheme="majorHAnsi" w:hAnsiTheme="majorHAnsi"/>
                <w:b/>
              </w:rPr>
              <w:t>Strategy</w:t>
            </w:r>
          </w:p>
        </w:tc>
        <w:tc>
          <w:tcPr>
            <w:tcW w:w="2340" w:type="dxa"/>
          </w:tcPr>
          <w:p w14:paraId="590B3FD4" w14:textId="77777777" w:rsidR="0003161E" w:rsidRPr="00BE510B" w:rsidRDefault="0003161E" w:rsidP="00BD4F35">
            <w:pPr>
              <w:pStyle w:val="ListParagraph"/>
              <w:ind w:left="0"/>
              <w:jc w:val="center"/>
              <w:rPr>
                <w:rFonts w:asciiTheme="majorHAnsi" w:hAnsiTheme="majorHAnsi"/>
                <w:b/>
              </w:rPr>
            </w:pPr>
            <w:r w:rsidRPr="00BE510B">
              <w:rPr>
                <w:rFonts w:asciiTheme="majorHAnsi" w:hAnsiTheme="majorHAnsi"/>
                <w:b/>
              </w:rPr>
              <w:t>Yes or No</w:t>
            </w:r>
          </w:p>
        </w:tc>
      </w:tr>
      <w:tr w:rsidR="0003161E" w:rsidRPr="00BE510B" w14:paraId="1A1FDABB" w14:textId="77777777" w:rsidTr="00BD4F35">
        <w:tc>
          <w:tcPr>
            <w:tcW w:w="9900" w:type="dxa"/>
            <w:gridSpan w:val="3"/>
            <w:shd w:val="clear" w:color="auto" w:fill="F2F2F2" w:themeFill="background1" w:themeFillShade="F2"/>
          </w:tcPr>
          <w:p w14:paraId="51934737" w14:textId="77777777" w:rsidR="0003161E" w:rsidRPr="00BE510B" w:rsidRDefault="0003161E" w:rsidP="00BD4F35">
            <w:pPr>
              <w:pStyle w:val="Pa5"/>
              <w:jc w:val="center"/>
              <w:rPr>
                <w:rFonts w:asciiTheme="majorHAnsi" w:hAnsiTheme="majorHAnsi"/>
                <w:i/>
                <w:color w:val="221E1F"/>
                <w:sz w:val="22"/>
                <w:szCs w:val="20"/>
              </w:rPr>
            </w:pPr>
            <w:r>
              <w:rPr>
                <w:rStyle w:val="A1"/>
                <w:rFonts w:asciiTheme="majorHAnsi" w:hAnsiTheme="majorHAnsi"/>
                <w:i/>
                <w:sz w:val="22"/>
                <w:szCs w:val="20"/>
              </w:rPr>
              <w:t xml:space="preserve">                      </w:t>
            </w:r>
            <w:r w:rsidRPr="00BE510B">
              <w:rPr>
                <w:rStyle w:val="A1"/>
                <w:rFonts w:asciiTheme="majorHAnsi" w:hAnsiTheme="majorHAnsi"/>
                <w:i/>
                <w:sz w:val="22"/>
                <w:szCs w:val="20"/>
              </w:rPr>
              <w:t>Tax Base &amp; Revenue Sources</w:t>
            </w:r>
          </w:p>
        </w:tc>
      </w:tr>
      <w:tr w:rsidR="0003161E" w:rsidRPr="00BE510B" w14:paraId="70041E4A" w14:textId="77777777" w:rsidTr="00BD4F35">
        <w:tc>
          <w:tcPr>
            <w:tcW w:w="3510" w:type="dxa"/>
          </w:tcPr>
          <w:p w14:paraId="5316F1ED" w14:textId="77777777" w:rsidR="0003161E" w:rsidRPr="00BE510B" w:rsidRDefault="0003161E" w:rsidP="00BD4F35">
            <w:pPr>
              <w:pStyle w:val="Pa4"/>
              <w:rPr>
                <w:rFonts w:asciiTheme="majorHAnsi" w:hAnsiTheme="majorHAnsi"/>
                <w:color w:val="221E1F"/>
                <w:sz w:val="20"/>
                <w:szCs w:val="20"/>
              </w:rPr>
            </w:pPr>
            <w:r w:rsidRPr="00BE510B">
              <w:rPr>
                <w:rFonts w:asciiTheme="majorHAnsi" w:hAnsiTheme="majorHAnsi" w:cs="Montserrat"/>
                <w:color w:val="221E1F"/>
                <w:sz w:val="20"/>
                <w:szCs w:val="20"/>
              </w:rPr>
              <w:t>Investigate/consider alternative sources of revenue</w:t>
            </w:r>
            <w:r>
              <w:rPr>
                <w:rFonts w:asciiTheme="majorHAnsi" w:hAnsiTheme="majorHAnsi" w:cs="Montserrat"/>
                <w:color w:val="221E1F"/>
                <w:sz w:val="20"/>
                <w:szCs w:val="20"/>
              </w:rPr>
              <w:t>.</w:t>
            </w:r>
          </w:p>
        </w:tc>
        <w:tc>
          <w:tcPr>
            <w:tcW w:w="4050" w:type="dxa"/>
          </w:tcPr>
          <w:p w14:paraId="324C0191" w14:textId="77777777" w:rsidR="0003161E" w:rsidRPr="00BE510B" w:rsidRDefault="0003161E" w:rsidP="00BD4F35">
            <w:pPr>
              <w:pStyle w:val="Pa4"/>
              <w:jc w:val="both"/>
              <w:rPr>
                <w:rFonts w:asciiTheme="majorHAnsi" w:hAnsiTheme="majorHAnsi"/>
                <w:color w:val="221E1F"/>
                <w:sz w:val="20"/>
                <w:szCs w:val="20"/>
              </w:rPr>
            </w:pPr>
            <w:r w:rsidRPr="00BE510B">
              <w:rPr>
                <w:rFonts w:asciiTheme="majorHAnsi" w:hAnsiTheme="majorHAnsi" w:cs="Montserrat"/>
                <w:color w:val="221E1F"/>
                <w:sz w:val="20"/>
                <w:szCs w:val="20"/>
              </w:rPr>
              <w:t>Adopt user fees, special assessments, facility fees, etc</w:t>
            </w:r>
            <w:r>
              <w:rPr>
                <w:rFonts w:asciiTheme="majorHAnsi" w:hAnsiTheme="majorHAnsi" w:cs="Montserrat"/>
                <w:color w:val="221E1F"/>
                <w:sz w:val="20"/>
                <w:szCs w:val="20"/>
              </w:rPr>
              <w:t>.</w:t>
            </w:r>
          </w:p>
        </w:tc>
        <w:tc>
          <w:tcPr>
            <w:tcW w:w="2340" w:type="dxa"/>
          </w:tcPr>
          <w:p w14:paraId="28E4E3CE" w14:textId="5C20BCF7" w:rsidR="0003161E" w:rsidRPr="00BE510B" w:rsidRDefault="0084081E" w:rsidP="00BD4F35">
            <w:pPr>
              <w:pStyle w:val="ListParagraph"/>
              <w:ind w:left="0"/>
              <w:rPr>
                <w:rFonts w:asciiTheme="majorHAnsi" w:hAnsiTheme="majorHAnsi"/>
                <w:sz w:val="20"/>
              </w:rPr>
            </w:pPr>
            <w:r>
              <w:rPr>
                <w:rFonts w:asciiTheme="majorHAnsi" w:hAnsiTheme="majorHAnsi"/>
                <w:sz w:val="20"/>
              </w:rPr>
              <w:t>No</w:t>
            </w:r>
          </w:p>
        </w:tc>
      </w:tr>
      <w:tr w:rsidR="0003161E" w:rsidRPr="00BE510B" w14:paraId="21D77C1D" w14:textId="77777777" w:rsidTr="00BD4F35">
        <w:tc>
          <w:tcPr>
            <w:tcW w:w="3510" w:type="dxa"/>
          </w:tcPr>
          <w:p w14:paraId="690AEF85" w14:textId="77777777" w:rsidR="0003161E" w:rsidRPr="00BE510B" w:rsidRDefault="0003161E" w:rsidP="00BD4F35">
            <w:pPr>
              <w:pStyle w:val="Pa4"/>
              <w:rPr>
                <w:rFonts w:asciiTheme="majorHAnsi" w:hAnsiTheme="majorHAnsi"/>
                <w:color w:val="221E1F"/>
                <w:sz w:val="20"/>
                <w:szCs w:val="20"/>
              </w:rPr>
            </w:pPr>
            <w:r w:rsidRPr="00BE510B">
              <w:rPr>
                <w:rFonts w:asciiTheme="majorHAnsi" w:hAnsiTheme="majorHAnsi" w:cs="Montserrat"/>
                <w:color w:val="221E1F"/>
                <w:sz w:val="20"/>
                <w:szCs w:val="20"/>
              </w:rPr>
              <w:t>Consider new taxes: RE transfer taxes, occu</w:t>
            </w:r>
            <w:r w:rsidRPr="00BE510B">
              <w:rPr>
                <w:rFonts w:asciiTheme="majorHAnsi" w:hAnsiTheme="majorHAnsi" w:cs="Montserrat"/>
                <w:color w:val="221E1F"/>
                <w:sz w:val="20"/>
                <w:szCs w:val="20"/>
              </w:rPr>
              <w:softHyphen/>
              <w:t>pancy tax</w:t>
            </w:r>
            <w:r>
              <w:rPr>
                <w:rFonts w:asciiTheme="majorHAnsi" w:hAnsiTheme="majorHAnsi" w:cs="Montserrat"/>
                <w:color w:val="221E1F"/>
                <w:sz w:val="20"/>
                <w:szCs w:val="20"/>
              </w:rPr>
              <w:t>.</w:t>
            </w:r>
          </w:p>
        </w:tc>
        <w:tc>
          <w:tcPr>
            <w:tcW w:w="4050" w:type="dxa"/>
          </w:tcPr>
          <w:p w14:paraId="6393BE38" w14:textId="77777777" w:rsidR="0003161E" w:rsidRPr="00BE510B" w:rsidRDefault="0003161E" w:rsidP="00BD4F35">
            <w:pPr>
              <w:pStyle w:val="Pa4"/>
              <w:jc w:val="both"/>
              <w:rPr>
                <w:rFonts w:asciiTheme="majorHAnsi" w:hAnsiTheme="majorHAnsi"/>
                <w:color w:val="221E1F"/>
                <w:sz w:val="20"/>
                <w:szCs w:val="20"/>
              </w:rPr>
            </w:pPr>
            <w:r w:rsidRPr="00BE510B">
              <w:rPr>
                <w:rFonts w:asciiTheme="majorHAnsi" w:hAnsiTheme="majorHAnsi" w:cs="Montserrat"/>
                <w:color w:val="221E1F"/>
                <w:sz w:val="20"/>
                <w:szCs w:val="20"/>
              </w:rPr>
              <w:t>Request ability to levy RE transfer tax</w:t>
            </w:r>
            <w:r>
              <w:rPr>
                <w:rFonts w:asciiTheme="majorHAnsi" w:hAnsiTheme="majorHAnsi" w:cs="Montserrat"/>
                <w:color w:val="221E1F"/>
                <w:sz w:val="20"/>
                <w:szCs w:val="20"/>
              </w:rPr>
              <w:t>.</w:t>
            </w:r>
          </w:p>
        </w:tc>
        <w:tc>
          <w:tcPr>
            <w:tcW w:w="2340" w:type="dxa"/>
          </w:tcPr>
          <w:p w14:paraId="35F562AE" w14:textId="6EFE333C" w:rsidR="0003161E" w:rsidRPr="00BE510B" w:rsidRDefault="0084081E" w:rsidP="00BD4F35">
            <w:pPr>
              <w:pStyle w:val="ListParagraph"/>
              <w:ind w:left="0"/>
              <w:rPr>
                <w:rFonts w:asciiTheme="majorHAnsi" w:hAnsiTheme="majorHAnsi"/>
                <w:sz w:val="20"/>
              </w:rPr>
            </w:pPr>
            <w:r>
              <w:rPr>
                <w:rFonts w:asciiTheme="majorHAnsi" w:hAnsiTheme="majorHAnsi"/>
                <w:sz w:val="20"/>
              </w:rPr>
              <w:t>No</w:t>
            </w:r>
          </w:p>
        </w:tc>
      </w:tr>
      <w:tr w:rsidR="0003161E" w:rsidRPr="00BE510B" w14:paraId="5104F770" w14:textId="77777777" w:rsidTr="00BD4F35">
        <w:tc>
          <w:tcPr>
            <w:tcW w:w="3510" w:type="dxa"/>
          </w:tcPr>
          <w:p w14:paraId="62C12246" w14:textId="77777777" w:rsidR="0003161E" w:rsidRPr="00BE510B" w:rsidRDefault="0003161E" w:rsidP="00BD4F35">
            <w:pPr>
              <w:pStyle w:val="Pa4"/>
              <w:rPr>
                <w:rFonts w:asciiTheme="majorHAnsi" w:hAnsiTheme="majorHAnsi"/>
                <w:color w:val="221E1F"/>
                <w:sz w:val="20"/>
                <w:szCs w:val="20"/>
              </w:rPr>
            </w:pPr>
            <w:r w:rsidRPr="00BE510B">
              <w:rPr>
                <w:rFonts w:asciiTheme="majorHAnsi" w:hAnsiTheme="majorHAnsi" w:cs="Montserrat"/>
                <w:color w:val="221E1F"/>
                <w:sz w:val="20"/>
                <w:szCs w:val="20"/>
              </w:rPr>
              <w:t>Consider new taxes: RE transfer taxes, occu</w:t>
            </w:r>
            <w:r w:rsidRPr="00BE510B">
              <w:rPr>
                <w:rFonts w:asciiTheme="majorHAnsi" w:hAnsiTheme="majorHAnsi" w:cs="Montserrat"/>
                <w:color w:val="221E1F"/>
                <w:sz w:val="20"/>
                <w:szCs w:val="20"/>
              </w:rPr>
              <w:softHyphen/>
              <w:t>pancy tax</w:t>
            </w:r>
            <w:r>
              <w:rPr>
                <w:rFonts w:asciiTheme="majorHAnsi" w:hAnsiTheme="majorHAnsi" w:cs="Montserrat"/>
                <w:color w:val="221E1F"/>
                <w:sz w:val="20"/>
                <w:szCs w:val="20"/>
              </w:rPr>
              <w:t>.</w:t>
            </w:r>
          </w:p>
        </w:tc>
        <w:tc>
          <w:tcPr>
            <w:tcW w:w="4050" w:type="dxa"/>
          </w:tcPr>
          <w:p w14:paraId="264CCB0C" w14:textId="77777777" w:rsidR="0003161E" w:rsidRPr="00BE510B" w:rsidRDefault="0003161E" w:rsidP="00BD4F35">
            <w:pPr>
              <w:pStyle w:val="Pa4"/>
              <w:jc w:val="both"/>
              <w:rPr>
                <w:rFonts w:asciiTheme="majorHAnsi" w:hAnsiTheme="majorHAnsi"/>
                <w:color w:val="221E1F"/>
                <w:sz w:val="20"/>
                <w:szCs w:val="20"/>
              </w:rPr>
            </w:pPr>
            <w:r w:rsidRPr="00BE510B">
              <w:rPr>
                <w:rFonts w:asciiTheme="majorHAnsi" w:hAnsiTheme="majorHAnsi" w:cs="Montserrat"/>
                <w:color w:val="221E1F"/>
                <w:sz w:val="20"/>
                <w:szCs w:val="20"/>
              </w:rPr>
              <w:t>Request ability to levy occupancy tax</w:t>
            </w:r>
            <w:r>
              <w:rPr>
                <w:rFonts w:asciiTheme="majorHAnsi" w:hAnsiTheme="majorHAnsi" w:cs="Montserrat"/>
                <w:color w:val="221E1F"/>
                <w:sz w:val="20"/>
                <w:szCs w:val="20"/>
              </w:rPr>
              <w:t>.</w:t>
            </w:r>
          </w:p>
        </w:tc>
        <w:tc>
          <w:tcPr>
            <w:tcW w:w="2340" w:type="dxa"/>
          </w:tcPr>
          <w:p w14:paraId="6B16493F" w14:textId="29006708" w:rsidR="0003161E" w:rsidRPr="00BE510B" w:rsidRDefault="0084081E" w:rsidP="00BD4F35">
            <w:pPr>
              <w:pStyle w:val="ListParagraph"/>
              <w:ind w:left="0"/>
              <w:rPr>
                <w:rFonts w:asciiTheme="majorHAnsi" w:hAnsiTheme="majorHAnsi"/>
                <w:sz w:val="20"/>
              </w:rPr>
            </w:pPr>
            <w:r>
              <w:rPr>
                <w:rFonts w:asciiTheme="majorHAnsi" w:hAnsiTheme="majorHAnsi"/>
                <w:sz w:val="20"/>
              </w:rPr>
              <w:t>No</w:t>
            </w:r>
          </w:p>
        </w:tc>
      </w:tr>
      <w:tr w:rsidR="0003161E" w:rsidRPr="00BE510B" w14:paraId="355FED65" w14:textId="77777777" w:rsidTr="00BD4F35">
        <w:tc>
          <w:tcPr>
            <w:tcW w:w="3510" w:type="dxa"/>
          </w:tcPr>
          <w:p w14:paraId="46955FC6" w14:textId="77777777" w:rsidR="0003161E" w:rsidRPr="00BE510B" w:rsidRDefault="0003161E" w:rsidP="00BD4F35">
            <w:pPr>
              <w:pStyle w:val="Pa4"/>
              <w:rPr>
                <w:rFonts w:asciiTheme="majorHAnsi" w:hAnsiTheme="majorHAnsi"/>
                <w:color w:val="221E1F"/>
                <w:sz w:val="20"/>
                <w:szCs w:val="20"/>
              </w:rPr>
            </w:pPr>
            <w:r w:rsidRPr="00BE510B">
              <w:rPr>
                <w:rFonts w:asciiTheme="majorHAnsi" w:hAnsiTheme="majorHAnsi" w:cs="Montserrat"/>
                <w:color w:val="221E1F"/>
                <w:sz w:val="20"/>
                <w:szCs w:val="20"/>
              </w:rPr>
              <w:t>Retain grants specialist to seek public and private grants</w:t>
            </w:r>
            <w:r>
              <w:rPr>
                <w:rFonts w:asciiTheme="majorHAnsi" w:hAnsiTheme="majorHAnsi" w:cs="Montserrat"/>
                <w:color w:val="221E1F"/>
                <w:sz w:val="20"/>
                <w:szCs w:val="20"/>
              </w:rPr>
              <w:t>.</w:t>
            </w:r>
          </w:p>
        </w:tc>
        <w:tc>
          <w:tcPr>
            <w:tcW w:w="4050" w:type="dxa"/>
          </w:tcPr>
          <w:p w14:paraId="6B8811D5" w14:textId="77777777" w:rsidR="0003161E" w:rsidRPr="00BE510B" w:rsidRDefault="0003161E" w:rsidP="00BD4F35">
            <w:pPr>
              <w:pStyle w:val="Pa4"/>
              <w:jc w:val="both"/>
              <w:rPr>
                <w:rFonts w:asciiTheme="majorHAnsi" w:hAnsiTheme="majorHAnsi"/>
                <w:color w:val="221E1F"/>
                <w:sz w:val="20"/>
                <w:szCs w:val="20"/>
              </w:rPr>
            </w:pPr>
            <w:r w:rsidRPr="00BE510B">
              <w:rPr>
                <w:rFonts w:asciiTheme="majorHAnsi" w:hAnsiTheme="majorHAnsi" w:cs="Montserrat"/>
                <w:color w:val="221E1F"/>
                <w:sz w:val="20"/>
                <w:szCs w:val="20"/>
              </w:rPr>
              <w:t>Coordinate with LOS Council to seek help in grant writing</w:t>
            </w:r>
            <w:r>
              <w:rPr>
                <w:rFonts w:asciiTheme="majorHAnsi" w:hAnsiTheme="majorHAnsi" w:cs="Montserrat"/>
                <w:color w:val="221E1F"/>
                <w:sz w:val="20"/>
                <w:szCs w:val="20"/>
              </w:rPr>
              <w:t>.</w:t>
            </w:r>
          </w:p>
        </w:tc>
        <w:tc>
          <w:tcPr>
            <w:tcW w:w="2340" w:type="dxa"/>
          </w:tcPr>
          <w:p w14:paraId="5E210F97" w14:textId="0F7D567B" w:rsidR="0003161E" w:rsidRPr="00BE510B" w:rsidRDefault="0084081E" w:rsidP="00BD4F35">
            <w:pPr>
              <w:pStyle w:val="ListParagraph"/>
              <w:ind w:left="0"/>
              <w:rPr>
                <w:rFonts w:asciiTheme="majorHAnsi" w:hAnsiTheme="majorHAnsi"/>
                <w:sz w:val="20"/>
              </w:rPr>
            </w:pPr>
            <w:r>
              <w:rPr>
                <w:rFonts w:asciiTheme="majorHAnsi" w:hAnsiTheme="majorHAnsi"/>
                <w:sz w:val="20"/>
              </w:rPr>
              <w:t>No</w:t>
            </w:r>
          </w:p>
        </w:tc>
      </w:tr>
      <w:tr w:rsidR="0003161E" w:rsidRPr="00BE510B" w14:paraId="71049D8A" w14:textId="77777777" w:rsidTr="00BD4F35">
        <w:tc>
          <w:tcPr>
            <w:tcW w:w="3510" w:type="dxa"/>
          </w:tcPr>
          <w:p w14:paraId="3C2317DB" w14:textId="77777777" w:rsidR="0003161E" w:rsidRPr="00BE510B" w:rsidRDefault="0003161E" w:rsidP="00BD4F35">
            <w:pPr>
              <w:pStyle w:val="Pa4"/>
              <w:rPr>
                <w:rFonts w:asciiTheme="majorHAnsi" w:hAnsiTheme="majorHAnsi"/>
                <w:color w:val="221E1F"/>
                <w:sz w:val="20"/>
                <w:szCs w:val="20"/>
              </w:rPr>
            </w:pPr>
            <w:r w:rsidRPr="00BE510B">
              <w:rPr>
                <w:rFonts w:asciiTheme="majorHAnsi" w:hAnsiTheme="majorHAnsi" w:cs="Montserrat"/>
                <w:color w:val="221E1F"/>
                <w:sz w:val="20"/>
                <w:szCs w:val="20"/>
              </w:rPr>
              <w:t>Expand tax base by increasing amount of taxable property</w:t>
            </w:r>
            <w:r>
              <w:rPr>
                <w:rFonts w:asciiTheme="majorHAnsi" w:hAnsiTheme="majorHAnsi" w:cs="Montserrat"/>
                <w:color w:val="221E1F"/>
                <w:sz w:val="20"/>
                <w:szCs w:val="20"/>
              </w:rPr>
              <w:t>.</w:t>
            </w:r>
          </w:p>
        </w:tc>
        <w:tc>
          <w:tcPr>
            <w:tcW w:w="4050" w:type="dxa"/>
          </w:tcPr>
          <w:p w14:paraId="2956F012" w14:textId="77777777" w:rsidR="0003161E" w:rsidRPr="00BE510B" w:rsidRDefault="0003161E" w:rsidP="00BD4F35">
            <w:pPr>
              <w:pStyle w:val="Pa4"/>
              <w:jc w:val="both"/>
              <w:rPr>
                <w:rFonts w:asciiTheme="majorHAnsi" w:hAnsiTheme="majorHAnsi"/>
                <w:color w:val="221E1F"/>
                <w:sz w:val="20"/>
                <w:szCs w:val="20"/>
              </w:rPr>
            </w:pPr>
            <w:r w:rsidRPr="00BE510B">
              <w:rPr>
                <w:rFonts w:asciiTheme="majorHAnsi" w:hAnsiTheme="majorHAnsi" w:cs="Montserrat"/>
                <w:color w:val="221E1F"/>
                <w:sz w:val="20"/>
                <w:szCs w:val="20"/>
              </w:rPr>
              <w:t>Encourage public/private partnerships for student housing, parking, etc</w:t>
            </w:r>
            <w:r>
              <w:rPr>
                <w:rFonts w:asciiTheme="majorHAnsi" w:hAnsiTheme="majorHAnsi" w:cs="Montserrat"/>
                <w:color w:val="221E1F"/>
                <w:sz w:val="20"/>
                <w:szCs w:val="20"/>
              </w:rPr>
              <w:t>.</w:t>
            </w:r>
          </w:p>
        </w:tc>
        <w:tc>
          <w:tcPr>
            <w:tcW w:w="2340" w:type="dxa"/>
          </w:tcPr>
          <w:p w14:paraId="0744AF45" w14:textId="566B657A" w:rsidR="0003161E" w:rsidRPr="00BE510B" w:rsidRDefault="0084081E" w:rsidP="00BD4F35">
            <w:pPr>
              <w:pStyle w:val="ListParagraph"/>
              <w:ind w:left="0"/>
              <w:rPr>
                <w:rFonts w:asciiTheme="majorHAnsi" w:hAnsiTheme="majorHAnsi"/>
                <w:sz w:val="20"/>
              </w:rPr>
            </w:pPr>
            <w:r>
              <w:rPr>
                <w:rFonts w:asciiTheme="majorHAnsi" w:hAnsiTheme="majorHAnsi"/>
                <w:sz w:val="20"/>
              </w:rPr>
              <w:t>No</w:t>
            </w:r>
          </w:p>
        </w:tc>
      </w:tr>
      <w:tr w:rsidR="0003161E" w:rsidRPr="00BE510B" w14:paraId="1BE8ADF6" w14:textId="77777777" w:rsidTr="00BD4F35">
        <w:tc>
          <w:tcPr>
            <w:tcW w:w="3510" w:type="dxa"/>
          </w:tcPr>
          <w:p w14:paraId="591CAF2B" w14:textId="77777777" w:rsidR="0003161E" w:rsidRPr="00BE510B" w:rsidRDefault="0003161E" w:rsidP="00BD4F35">
            <w:pPr>
              <w:pStyle w:val="Pa4"/>
              <w:rPr>
                <w:rFonts w:asciiTheme="majorHAnsi" w:hAnsiTheme="majorHAnsi"/>
                <w:color w:val="221E1F"/>
                <w:sz w:val="20"/>
                <w:szCs w:val="20"/>
              </w:rPr>
            </w:pPr>
            <w:r w:rsidRPr="00BE510B">
              <w:rPr>
                <w:rFonts w:asciiTheme="majorHAnsi" w:hAnsiTheme="majorHAnsi" w:cs="Montserrat"/>
                <w:color w:val="221E1F"/>
                <w:sz w:val="20"/>
                <w:szCs w:val="20"/>
              </w:rPr>
              <w:t>Seek legislation to mitigate impact of conser</w:t>
            </w:r>
            <w:r w:rsidRPr="00BE510B">
              <w:rPr>
                <w:rFonts w:asciiTheme="majorHAnsi" w:hAnsiTheme="majorHAnsi" w:cs="Montserrat"/>
                <w:color w:val="221E1F"/>
                <w:sz w:val="20"/>
                <w:szCs w:val="20"/>
              </w:rPr>
              <w:softHyphen/>
              <w:t>vation easements</w:t>
            </w:r>
            <w:r>
              <w:rPr>
                <w:rFonts w:asciiTheme="majorHAnsi" w:hAnsiTheme="majorHAnsi" w:cs="Montserrat"/>
                <w:color w:val="221E1F"/>
                <w:sz w:val="20"/>
                <w:szCs w:val="20"/>
              </w:rPr>
              <w:t>.</w:t>
            </w:r>
          </w:p>
        </w:tc>
        <w:tc>
          <w:tcPr>
            <w:tcW w:w="4050" w:type="dxa"/>
          </w:tcPr>
          <w:p w14:paraId="3C78DE29" w14:textId="77777777" w:rsidR="0003161E" w:rsidRPr="00BE510B" w:rsidRDefault="0003161E" w:rsidP="00BD4F35">
            <w:pPr>
              <w:pStyle w:val="Pa4"/>
              <w:jc w:val="both"/>
              <w:rPr>
                <w:rFonts w:asciiTheme="majorHAnsi" w:hAnsiTheme="majorHAnsi"/>
                <w:color w:val="221E1F"/>
                <w:sz w:val="20"/>
                <w:szCs w:val="20"/>
              </w:rPr>
            </w:pPr>
            <w:r w:rsidRPr="00BE510B">
              <w:rPr>
                <w:rFonts w:asciiTheme="majorHAnsi" w:hAnsiTheme="majorHAnsi" w:cs="Montserrat"/>
                <w:color w:val="221E1F"/>
                <w:sz w:val="20"/>
                <w:szCs w:val="20"/>
              </w:rPr>
              <w:t>Coordinate with League of Municipalities &amp; collaborate with other similar entities</w:t>
            </w:r>
            <w:r>
              <w:rPr>
                <w:rFonts w:asciiTheme="majorHAnsi" w:hAnsiTheme="majorHAnsi" w:cs="Montserrat"/>
                <w:color w:val="221E1F"/>
                <w:sz w:val="20"/>
                <w:szCs w:val="20"/>
              </w:rPr>
              <w:t>.</w:t>
            </w:r>
          </w:p>
        </w:tc>
        <w:tc>
          <w:tcPr>
            <w:tcW w:w="2340" w:type="dxa"/>
          </w:tcPr>
          <w:p w14:paraId="03EFA70F" w14:textId="7120ED62" w:rsidR="0003161E" w:rsidRPr="00BE510B" w:rsidRDefault="0084081E" w:rsidP="00BD4F35">
            <w:pPr>
              <w:pStyle w:val="ListParagraph"/>
              <w:ind w:left="0"/>
              <w:rPr>
                <w:rFonts w:asciiTheme="majorHAnsi" w:hAnsiTheme="majorHAnsi"/>
                <w:sz w:val="20"/>
              </w:rPr>
            </w:pPr>
            <w:r>
              <w:rPr>
                <w:rFonts w:asciiTheme="majorHAnsi" w:hAnsiTheme="majorHAnsi"/>
                <w:sz w:val="20"/>
              </w:rPr>
              <w:t>No</w:t>
            </w:r>
          </w:p>
        </w:tc>
      </w:tr>
    </w:tbl>
    <w:p w14:paraId="54251407" w14:textId="77777777" w:rsidR="0003161E" w:rsidRDefault="0003161E" w:rsidP="009B057C">
      <w:pPr>
        <w:widowControl w:val="0"/>
        <w:jc w:val="left"/>
        <w:outlineLvl w:val="0"/>
        <w:rPr>
          <w:rFonts w:asciiTheme="minorHAnsi" w:hAnsiTheme="minorHAnsi" w:cs="Calibri"/>
          <w:szCs w:val="24"/>
        </w:rPr>
      </w:pPr>
    </w:p>
    <w:tbl>
      <w:tblPr>
        <w:tblStyle w:val="TableGrid"/>
        <w:tblW w:w="9900" w:type="dxa"/>
        <w:tblInd w:w="18" w:type="dxa"/>
        <w:tblLook w:val="04A0" w:firstRow="1" w:lastRow="0" w:firstColumn="1" w:lastColumn="0" w:noHBand="0" w:noVBand="1"/>
      </w:tblPr>
      <w:tblGrid>
        <w:gridCol w:w="3510"/>
        <w:gridCol w:w="4050"/>
        <w:gridCol w:w="2340"/>
      </w:tblGrid>
      <w:tr w:rsidR="0003161E" w:rsidRPr="00BE510B" w14:paraId="1045C7BF" w14:textId="77777777" w:rsidTr="00BD4F35">
        <w:tc>
          <w:tcPr>
            <w:tcW w:w="9900" w:type="dxa"/>
            <w:gridSpan w:val="3"/>
            <w:shd w:val="clear" w:color="auto" w:fill="D9D9D9" w:themeFill="background1" w:themeFillShade="D9"/>
          </w:tcPr>
          <w:p w14:paraId="0CD2DBC5" w14:textId="77777777" w:rsidR="0003161E" w:rsidRPr="00BE510B" w:rsidRDefault="0003161E" w:rsidP="00BD4F35">
            <w:pPr>
              <w:pStyle w:val="ListParagraph"/>
              <w:ind w:left="0"/>
              <w:jc w:val="center"/>
              <w:rPr>
                <w:rFonts w:ascii="Cambria" w:hAnsi="Cambria"/>
                <w:b/>
                <w:sz w:val="20"/>
              </w:rPr>
            </w:pPr>
            <w:r>
              <w:rPr>
                <w:rFonts w:ascii="Cambria" w:hAnsi="Cambria"/>
                <w:b/>
              </w:rPr>
              <w:t xml:space="preserve">                </w:t>
            </w:r>
            <w:r w:rsidRPr="00BE510B">
              <w:rPr>
                <w:rFonts w:ascii="Cambria" w:hAnsi="Cambria"/>
                <w:b/>
              </w:rPr>
              <w:t>WATER RESOURCES</w:t>
            </w:r>
          </w:p>
        </w:tc>
      </w:tr>
      <w:tr w:rsidR="0003161E" w:rsidRPr="00BE510B" w14:paraId="7125AF33" w14:textId="77777777" w:rsidTr="00BD4F35">
        <w:tc>
          <w:tcPr>
            <w:tcW w:w="3510" w:type="dxa"/>
          </w:tcPr>
          <w:p w14:paraId="600CA02F" w14:textId="77777777" w:rsidR="0003161E" w:rsidRPr="00BE510B" w:rsidRDefault="0003161E" w:rsidP="00BD4F35">
            <w:pPr>
              <w:pStyle w:val="ListParagraph"/>
              <w:ind w:left="0"/>
              <w:jc w:val="center"/>
              <w:rPr>
                <w:rFonts w:ascii="Cambria" w:hAnsi="Cambria"/>
                <w:b/>
              </w:rPr>
            </w:pPr>
            <w:r w:rsidRPr="00BE510B">
              <w:rPr>
                <w:rFonts w:ascii="Cambria" w:hAnsi="Cambria"/>
                <w:b/>
              </w:rPr>
              <w:t>Recommendation</w:t>
            </w:r>
          </w:p>
        </w:tc>
        <w:tc>
          <w:tcPr>
            <w:tcW w:w="4050" w:type="dxa"/>
          </w:tcPr>
          <w:p w14:paraId="5F6A14F2" w14:textId="77777777" w:rsidR="0003161E" w:rsidRPr="00BE510B" w:rsidRDefault="0003161E" w:rsidP="00BD4F35">
            <w:pPr>
              <w:pStyle w:val="ListParagraph"/>
              <w:ind w:left="0"/>
              <w:jc w:val="center"/>
              <w:rPr>
                <w:rFonts w:ascii="Cambria" w:hAnsi="Cambria"/>
                <w:b/>
              </w:rPr>
            </w:pPr>
            <w:r w:rsidRPr="00BE510B">
              <w:rPr>
                <w:rFonts w:ascii="Cambria" w:hAnsi="Cambria"/>
                <w:b/>
              </w:rPr>
              <w:t>Strategy</w:t>
            </w:r>
          </w:p>
        </w:tc>
        <w:tc>
          <w:tcPr>
            <w:tcW w:w="2340" w:type="dxa"/>
          </w:tcPr>
          <w:p w14:paraId="03B27B02" w14:textId="77777777" w:rsidR="0003161E" w:rsidRPr="00BE510B" w:rsidRDefault="0003161E" w:rsidP="00BD4F35">
            <w:pPr>
              <w:pStyle w:val="ListParagraph"/>
              <w:ind w:left="0"/>
              <w:jc w:val="center"/>
              <w:rPr>
                <w:rFonts w:ascii="Cambria" w:hAnsi="Cambria"/>
                <w:b/>
              </w:rPr>
            </w:pPr>
            <w:r w:rsidRPr="00BE510B">
              <w:rPr>
                <w:rFonts w:ascii="Cambria" w:hAnsi="Cambria"/>
                <w:b/>
              </w:rPr>
              <w:t>Yes or No</w:t>
            </w:r>
          </w:p>
        </w:tc>
      </w:tr>
      <w:tr w:rsidR="0003161E" w:rsidRPr="00BE510B" w14:paraId="3A9080DA" w14:textId="77777777" w:rsidTr="00453DD6">
        <w:trPr>
          <w:trHeight w:val="179"/>
        </w:trPr>
        <w:tc>
          <w:tcPr>
            <w:tcW w:w="9900" w:type="dxa"/>
            <w:gridSpan w:val="3"/>
            <w:shd w:val="clear" w:color="auto" w:fill="F2F2F2" w:themeFill="background1" w:themeFillShade="F2"/>
          </w:tcPr>
          <w:p w14:paraId="4DBF2F90" w14:textId="77777777" w:rsidR="0003161E" w:rsidRPr="00BE510B" w:rsidRDefault="0003161E" w:rsidP="00BD4F35">
            <w:pPr>
              <w:jc w:val="center"/>
              <w:rPr>
                <w:rFonts w:ascii="Cambria" w:hAnsi="Cambria"/>
                <w:i/>
              </w:rPr>
            </w:pPr>
            <w:r w:rsidRPr="00BE510B">
              <w:rPr>
                <w:rFonts w:ascii="Cambria" w:hAnsi="Cambria"/>
                <w:i/>
              </w:rPr>
              <w:t>Infrastructure</w:t>
            </w:r>
          </w:p>
        </w:tc>
      </w:tr>
      <w:tr w:rsidR="0003161E" w:rsidRPr="00BE510B" w14:paraId="5A21130F" w14:textId="77777777" w:rsidTr="00BD4F35">
        <w:tc>
          <w:tcPr>
            <w:tcW w:w="3510" w:type="dxa"/>
          </w:tcPr>
          <w:p w14:paraId="54AC075B" w14:textId="77777777" w:rsidR="0003161E" w:rsidRPr="00BE510B" w:rsidRDefault="0003161E" w:rsidP="00BD4F35">
            <w:pPr>
              <w:pStyle w:val="Pa4"/>
              <w:rPr>
                <w:rFonts w:ascii="Cambria" w:hAnsi="Cambria"/>
                <w:color w:val="221E1F"/>
                <w:sz w:val="20"/>
                <w:szCs w:val="20"/>
              </w:rPr>
            </w:pPr>
            <w:r w:rsidRPr="00BE510B">
              <w:rPr>
                <w:rFonts w:ascii="Cambria" w:hAnsi="Cambria" w:cs="Montserrat"/>
                <w:color w:val="221E1F"/>
                <w:sz w:val="20"/>
                <w:szCs w:val="20"/>
              </w:rPr>
              <w:t>Identify and pursue additional well &amp; storage sites to meet future demand</w:t>
            </w:r>
            <w:r>
              <w:rPr>
                <w:rFonts w:ascii="Cambria" w:hAnsi="Cambria" w:cs="Montserrat"/>
                <w:color w:val="221E1F"/>
                <w:sz w:val="20"/>
                <w:szCs w:val="20"/>
              </w:rPr>
              <w:t>.</w:t>
            </w:r>
          </w:p>
        </w:tc>
        <w:tc>
          <w:tcPr>
            <w:tcW w:w="4050" w:type="dxa"/>
          </w:tcPr>
          <w:p w14:paraId="66A317EE" w14:textId="77777777" w:rsidR="0003161E" w:rsidRPr="00BE510B" w:rsidRDefault="0003161E" w:rsidP="00BD4F35">
            <w:pPr>
              <w:pStyle w:val="Pa4"/>
              <w:jc w:val="both"/>
              <w:rPr>
                <w:rFonts w:ascii="Cambria" w:hAnsi="Cambria"/>
                <w:color w:val="221E1F"/>
                <w:sz w:val="20"/>
                <w:szCs w:val="20"/>
              </w:rPr>
            </w:pPr>
            <w:r w:rsidRPr="00BE510B">
              <w:rPr>
                <w:rFonts w:ascii="Cambria" w:hAnsi="Cambria" w:cs="Montserrat"/>
                <w:color w:val="221E1F"/>
                <w:sz w:val="20"/>
                <w:szCs w:val="20"/>
              </w:rPr>
              <w:t>Investigate locations within conservation easement</w:t>
            </w:r>
            <w:r>
              <w:rPr>
                <w:rFonts w:ascii="Cambria" w:hAnsi="Cambria" w:cs="Montserrat"/>
                <w:color w:val="221E1F"/>
                <w:sz w:val="20"/>
                <w:szCs w:val="20"/>
              </w:rPr>
              <w:t>.</w:t>
            </w:r>
          </w:p>
        </w:tc>
        <w:tc>
          <w:tcPr>
            <w:tcW w:w="2340" w:type="dxa"/>
          </w:tcPr>
          <w:p w14:paraId="19D9F88E" w14:textId="6C36F678" w:rsidR="0003161E" w:rsidRPr="00BE510B" w:rsidRDefault="00453DD6" w:rsidP="00BD4F35">
            <w:pPr>
              <w:pStyle w:val="ListParagraph"/>
              <w:ind w:left="0"/>
              <w:rPr>
                <w:rFonts w:ascii="Cambria" w:hAnsi="Cambria"/>
                <w:sz w:val="20"/>
              </w:rPr>
            </w:pPr>
            <w:r>
              <w:rPr>
                <w:rFonts w:ascii="Cambria" w:hAnsi="Cambria"/>
                <w:sz w:val="20"/>
              </w:rPr>
              <w:t>No</w:t>
            </w:r>
          </w:p>
        </w:tc>
      </w:tr>
      <w:tr w:rsidR="0003161E" w:rsidRPr="00BE510B" w14:paraId="6E004EC2" w14:textId="77777777" w:rsidTr="00BD4F35">
        <w:tc>
          <w:tcPr>
            <w:tcW w:w="3510" w:type="dxa"/>
          </w:tcPr>
          <w:p w14:paraId="41E51E7C" w14:textId="77777777" w:rsidR="0003161E" w:rsidRPr="00BE510B" w:rsidRDefault="0003161E" w:rsidP="00BD4F35">
            <w:pPr>
              <w:pStyle w:val="Pa4"/>
              <w:rPr>
                <w:rFonts w:ascii="Cambria" w:hAnsi="Cambria"/>
                <w:color w:val="221E1F"/>
                <w:sz w:val="20"/>
                <w:szCs w:val="20"/>
              </w:rPr>
            </w:pPr>
            <w:r w:rsidRPr="00BE510B">
              <w:rPr>
                <w:rFonts w:ascii="Cambria" w:hAnsi="Cambria" w:cs="Montserrat"/>
                <w:color w:val="221E1F"/>
                <w:sz w:val="20"/>
                <w:szCs w:val="20"/>
              </w:rPr>
              <w:t>Identify additional water sources for future fire emergencies</w:t>
            </w:r>
            <w:r>
              <w:rPr>
                <w:rFonts w:ascii="Cambria" w:hAnsi="Cambria" w:cs="Montserrat"/>
                <w:color w:val="221E1F"/>
                <w:sz w:val="20"/>
                <w:szCs w:val="20"/>
              </w:rPr>
              <w:t>.</w:t>
            </w:r>
          </w:p>
        </w:tc>
        <w:tc>
          <w:tcPr>
            <w:tcW w:w="4050" w:type="dxa"/>
          </w:tcPr>
          <w:p w14:paraId="0DCF5471" w14:textId="77777777" w:rsidR="0003161E" w:rsidRPr="00BE510B" w:rsidRDefault="0003161E" w:rsidP="00BD4F35">
            <w:pPr>
              <w:pStyle w:val="Pa4"/>
              <w:jc w:val="both"/>
              <w:rPr>
                <w:rFonts w:ascii="Cambria" w:hAnsi="Cambria"/>
                <w:color w:val="221E1F"/>
                <w:sz w:val="20"/>
                <w:szCs w:val="20"/>
              </w:rPr>
            </w:pPr>
            <w:r w:rsidRPr="00BE510B">
              <w:rPr>
                <w:rFonts w:ascii="Cambria" w:hAnsi="Cambria" w:cs="Montserrat"/>
                <w:color w:val="221E1F"/>
                <w:sz w:val="20"/>
                <w:szCs w:val="20"/>
              </w:rPr>
              <w:t>Determine additional peak time capacity to handle future fire emergen</w:t>
            </w:r>
            <w:r w:rsidRPr="00BE510B">
              <w:rPr>
                <w:rFonts w:ascii="Cambria" w:hAnsi="Cambria" w:cs="Montserrat"/>
                <w:color w:val="221E1F"/>
                <w:sz w:val="20"/>
                <w:szCs w:val="20"/>
              </w:rPr>
              <w:softHyphen/>
              <w:t>cies</w:t>
            </w:r>
            <w:r>
              <w:rPr>
                <w:rFonts w:ascii="Cambria" w:hAnsi="Cambria" w:cs="Montserrat"/>
                <w:color w:val="221E1F"/>
                <w:sz w:val="20"/>
                <w:szCs w:val="20"/>
              </w:rPr>
              <w:t>.</w:t>
            </w:r>
          </w:p>
        </w:tc>
        <w:tc>
          <w:tcPr>
            <w:tcW w:w="2340" w:type="dxa"/>
          </w:tcPr>
          <w:p w14:paraId="65E71AE9" w14:textId="139A4EC9" w:rsidR="0003161E" w:rsidRPr="00BE510B" w:rsidRDefault="00453DD6" w:rsidP="00BD4F35">
            <w:pPr>
              <w:pStyle w:val="ListParagraph"/>
              <w:ind w:left="0"/>
              <w:rPr>
                <w:rFonts w:ascii="Cambria" w:hAnsi="Cambria"/>
                <w:sz w:val="20"/>
              </w:rPr>
            </w:pPr>
            <w:r>
              <w:rPr>
                <w:rFonts w:ascii="Cambria" w:hAnsi="Cambria"/>
                <w:sz w:val="20"/>
              </w:rPr>
              <w:t>No</w:t>
            </w:r>
          </w:p>
        </w:tc>
      </w:tr>
      <w:tr w:rsidR="0003161E" w:rsidRPr="00BE510B" w14:paraId="720A156A" w14:textId="77777777" w:rsidTr="00BD4F35">
        <w:tc>
          <w:tcPr>
            <w:tcW w:w="3510" w:type="dxa"/>
          </w:tcPr>
          <w:p w14:paraId="1CDA5AD2" w14:textId="77777777" w:rsidR="0003161E" w:rsidRPr="00BE510B" w:rsidRDefault="0003161E" w:rsidP="00BD4F35">
            <w:pPr>
              <w:pStyle w:val="Pa4"/>
              <w:rPr>
                <w:rFonts w:ascii="Cambria" w:hAnsi="Cambria"/>
                <w:color w:val="221E1F"/>
                <w:sz w:val="20"/>
                <w:szCs w:val="20"/>
              </w:rPr>
            </w:pPr>
            <w:r w:rsidRPr="00BE510B">
              <w:rPr>
                <w:rFonts w:ascii="Cambria" w:hAnsi="Cambria" w:cs="Montserrat"/>
                <w:color w:val="221E1F"/>
                <w:sz w:val="20"/>
                <w:szCs w:val="20"/>
              </w:rPr>
              <w:t>Identify additional water sources for future fire emergencies</w:t>
            </w:r>
            <w:r>
              <w:rPr>
                <w:rFonts w:ascii="Cambria" w:hAnsi="Cambria" w:cs="Montserrat"/>
                <w:color w:val="221E1F"/>
                <w:sz w:val="20"/>
                <w:szCs w:val="20"/>
              </w:rPr>
              <w:t>.</w:t>
            </w:r>
          </w:p>
        </w:tc>
        <w:tc>
          <w:tcPr>
            <w:tcW w:w="4050" w:type="dxa"/>
          </w:tcPr>
          <w:p w14:paraId="7FDAE4F4" w14:textId="77777777" w:rsidR="0003161E" w:rsidRPr="00BE510B" w:rsidRDefault="0003161E" w:rsidP="00BD4F35">
            <w:pPr>
              <w:pStyle w:val="Pa4"/>
              <w:jc w:val="both"/>
              <w:rPr>
                <w:rFonts w:ascii="Cambria" w:hAnsi="Cambria"/>
                <w:color w:val="221E1F"/>
                <w:sz w:val="20"/>
                <w:szCs w:val="20"/>
              </w:rPr>
            </w:pPr>
            <w:r w:rsidRPr="00BE510B">
              <w:rPr>
                <w:rFonts w:ascii="Cambria" w:hAnsi="Cambria" w:cs="Montserrat"/>
                <w:color w:val="221E1F"/>
                <w:sz w:val="20"/>
                <w:szCs w:val="20"/>
              </w:rPr>
              <w:t>Study "build-out" scenario and limit future building to limit future demand</w:t>
            </w:r>
            <w:r>
              <w:rPr>
                <w:rFonts w:ascii="Cambria" w:hAnsi="Cambria" w:cs="Montserrat"/>
                <w:color w:val="221E1F"/>
                <w:sz w:val="20"/>
                <w:szCs w:val="20"/>
              </w:rPr>
              <w:t>.</w:t>
            </w:r>
          </w:p>
        </w:tc>
        <w:tc>
          <w:tcPr>
            <w:tcW w:w="2340" w:type="dxa"/>
          </w:tcPr>
          <w:p w14:paraId="0B8E6D77" w14:textId="21CD3A2E" w:rsidR="0003161E" w:rsidRPr="00BE510B" w:rsidRDefault="00453DD6" w:rsidP="00BD4F35">
            <w:pPr>
              <w:pStyle w:val="ListParagraph"/>
              <w:ind w:left="0"/>
              <w:rPr>
                <w:rFonts w:ascii="Cambria" w:hAnsi="Cambria"/>
                <w:sz w:val="20"/>
              </w:rPr>
            </w:pPr>
            <w:r>
              <w:rPr>
                <w:rFonts w:ascii="Cambria" w:hAnsi="Cambria"/>
                <w:sz w:val="20"/>
              </w:rPr>
              <w:t>No</w:t>
            </w:r>
          </w:p>
        </w:tc>
      </w:tr>
      <w:tr w:rsidR="0003161E" w:rsidRPr="00BE510B" w14:paraId="74CC81BB" w14:textId="77777777" w:rsidTr="00BD4F35">
        <w:tc>
          <w:tcPr>
            <w:tcW w:w="3510" w:type="dxa"/>
          </w:tcPr>
          <w:p w14:paraId="07E483A4" w14:textId="77777777" w:rsidR="0003161E" w:rsidRPr="00BE510B" w:rsidRDefault="0003161E" w:rsidP="00BD4F35">
            <w:pPr>
              <w:pStyle w:val="Pa4"/>
              <w:rPr>
                <w:rFonts w:ascii="Cambria" w:hAnsi="Cambria"/>
                <w:color w:val="221E1F"/>
                <w:sz w:val="20"/>
                <w:szCs w:val="20"/>
              </w:rPr>
            </w:pPr>
            <w:r w:rsidRPr="00BE510B">
              <w:rPr>
                <w:rFonts w:ascii="Cambria" w:hAnsi="Cambria" w:cs="Montserrat"/>
                <w:color w:val="221E1F"/>
                <w:sz w:val="20"/>
                <w:szCs w:val="20"/>
              </w:rPr>
              <w:t>Require users driving peak demand to offset costs of an expanded system</w:t>
            </w:r>
            <w:r>
              <w:rPr>
                <w:rFonts w:ascii="Cambria" w:hAnsi="Cambria" w:cs="Montserrat"/>
                <w:color w:val="221E1F"/>
                <w:sz w:val="20"/>
                <w:szCs w:val="20"/>
              </w:rPr>
              <w:t>.</w:t>
            </w:r>
          </w:p>
        </w:tc>
        <w:tc>
          <w:tcPr>
            <w:tcW w:w="4050" w:type="dxa"/>
          </w:tcPr>
          <w:p w14:paraId="649ACF11" w14:textId="77777777" w:rsidR="0003161E" w:rsidRPr="00BE510B" w:rsidRDefault="0003161E" w:rsidP="00BD4F35">
            <w:pPr>
              <w:pStyle w:val="Pa4"/>
              <w:jc w:val="both"/>
              <w:rPr>
                <w:rFonts w:ascii="Cambria" w:hAnsi="Cambria"/>
                <w:color w:val="221E1F"/>
                <w:sz w:val="20"/>
                <w:szCs w:val="20"/>
              </w:rPr>
            </w:pPr>
            <w:r w:rsidRPr="00BE510B">
              <w:rPr>
                <w:rFonts w:ascii="Cambria" w:hAnsi="Cambria" w:cs="Montserrat"/>
                <w:color w:val="221E1F"/>
                <w:sz w:val="20"/>
                <w:szCs w:val="20"/>
              </w:rPr>
              <w:t>Collaborate with MRA and MC to study and identify means to offset costs to expand</w:t>
            </w:r>
            <w:r>
              <w:rPr>
                <w:rFonts w:ascii="Cambria" w:hAnsi="Cambria" w:cs="Montserrat"/>
                <w:color w:val="221E1F"/>
                <w:sz w:val="20"/>
                <w:szCs w:val="20"/>
              </w:rPr>
              <w:t>.</w:t>
            </w:r>
          </w:p>
        </w:tc>
        <w:tc>
          <w:tcPr>
            <w:tcW w:w="2340" w:type="dxa"/>
          </w:tcPr>
          <w:p w14:paraId="2206AAA0" w14:textId="593DC349" w:rsidR="0003161E" w:rsidRPr="00BE510B" w:rsidRDefault="00453DD6" w:rsidP="00BD4F35">
            <w:pPr>
              <w:pStyle w:val="ListParagraph"/>
              <w:ind w:left="0"/>
              <w:rPr>
                <w:rFonts w:ascii="Cambria" w:hAnsi="Cambria"/>
                <w:sz w:val="20"/>
              </w:rPr>
            </w:pPr>
            <w:r>
              <w:rPr>
                <w:rFonts w:ascii="Cambria" w:hAnsi="Cambria"/>
                <w:sz w:val="20"/>
              </w:rPr>
              <w:t>No</w:t>
            </w:r>
          </w:p>
        </w:tc>
      </w:tr>
    </w:tbl>
    <w:p w14:paraId="46AA42D6" w14:textId="77777777" w:rsidR="0003161E" w:rsidRDefault="0003161E" w:rsidP="009B057C">
      <w:pPr>
        <w:widowControl w:val="0"/>
        <w:jc w:val="left"/>
        <w:outlineLvl w:val="0"/>
        <w:rPr>
          <w:rFonts w:asciiTheme="minorHAnsi" w:hAnsiTheme="minorHAnsi" w:cs="Calibri"/>
          <w:szCs w:val="24"/>
        </w:rPr>
      </w:pPr>
    </w:p>
    <w:p w14:paraId="14872935" w14:textId="0BFE0E66" w:rsidR="009B057C" w:rsidRDefault="0021267F" w:rsidP="009B057C">
      <w:pPr>
        <w:widowControl w:val="0"/>
        <w:jc w:val="left"/>
        <w:outlineLvl w:val="0"/>
        <w:rPr>
          <w:rFonts w:asciiTheme="minorHAnsi" w:hAnsiTheme="minorHAnsi" w:cs="Calibri"/>
          <w:szCs w:val="24"/>
        </w:rPr>
      </w:pPr>
      <w:r>
        <w:rPr>
          <w:rFonts w:asciiTheme="minorHAnsi" w:hAnsiTheme="minorHAnsi" w:cs="Calibri"/>
          <w:szCs w:val="24"/>
        </w:rPr>
        <w:t xml:space="preserve">Ms. DiCristina advised again that this Comprehensive Plan is a guiding document which should direct the objectives of the Town.  </w:t>
      </w:r>
    </w:p>
    <w:p w14:paraId="2C7B1C6C" w14:textId="77777777" w:rsidR="0021267F" w:rsidRDefault="0021267F" w:rsidP="009B057C">
      <w:pPr>
        <w:widowControl w:val="0"/>
        <w:jc w:val="left"/>
        <w:outlineLvl w:val="0"/>
        <w:rPr>
          <w:rFonts w:asciiTheme="minorHAnsi" w:hAnsiTheme="minorHAnsi" w:cs="Calibri"/>
          <w:szCs w:val="24"/>
        </w:rPr>
      </w:pPr>
    </w:p>
    <w:p w14:paraId="09FE2C03" w14:textId="34803306" w:rsidR="0021267F" w:rsidRDefault="0021267F" w:rsidP="009B057C">
      <w:pPr>
        <w:widowControl w:val="0"/>
        <w:jc w:val="left"/>
        <w:outlineLvl w:val="0"/>
        <w:rPr>
          <w:rFonts w:asciiTheme="minorHAnsi" w:hAnsiTheme="minorHAnsi" w:cs="Calibri"/>
          <w:szCs w:val="24"/>
        </w:rPr>
      </w:pPr>
      <w:r>
        <w:rPr>
          <w:rFonts w:asciiTheme="minorHAnsi" w:hAnsiTheme="minorHAnsi" w:cs="Calibri"/>
          <w:szCs w:val="24"/>
        </w:rPr>
        <w:t>It was decided that the next meeting will be held Tuesday, February 7</w:t>
      </w:r>
      <w:r w:rsidRPr="0021267F">
        <w:rPr>
          <w:rFonts w:asciiTheme="minorHAnsi" w:hAnsiTheme="minorHAnsi" w:cs="Calibri"/>
          <w:szCs w:val="24"/>
          <w:vertAlign w:val="superscript"/>
        </w:rPr>
        <w:t>th</w:t>
      </w:r>
      <w:r>
        <w:rPr>
          <w:rFonts w:asciiTheme="minorHAnsi" w:hAnsiTheme="minorHAnsi" w:cs="Calibri"/>
          <w:szCs w:val="24"/>
        </w:rPr>
        <w:t xml:space="preserve"> from 12:00 p.m. until 2:00 p.m.</w:t>
      </w:r>
    </w:p>
    <w:p w14:paraId="2044951F" w14:textId="77777777" w:rsidR="009B057C" w:rsidRDefault="009B057C" w:rsidP="009B057C">
      <w:pPr>
        <w:widowControl w:val="0"/>
        <w:jc w:val="left"/>
        <w:outlineLvl w:val="0"/>
        <w:rPr>
          <w:rFonts w:asciiTheme="minorHAnsi" w:hAnsiTheme="minorHAnsi" w:cs="Calibri"/>
          <w:szCs w:val="24"/>
        </w:rPr>
      </w:pPr>
    </w:p>
    <w:p w14:paraId="35323470" w14:textId="7E9BB74C" w:rsidR="0021267F" w:rsidRDefault="0021267F" w:rsidP="009B057C">
      <w:pPr>
        <w:widowControl w:val="0"/>
        <w:jc w:val="left"/>
        <w:outlineLvl w:val="0"/>
        <w:rPr>
          <w:rFonts w:asciiTheme="minorHAnsi" w:hAnsiTheme="minorHAnsi" w:cs="Calibri"/>
          <w:szCs w:val="24"/>
        </w:rPr>
      </w:pPr>
      <w:r>
        <w:rPr>
          <w:rFonts w:asciiTheme="minorHAnsi" w:hAnsiTheme="minorHAnsi" w:cs="Calibri"/>
          <w:szCs w:val="24"/>
        </w:rPr>
        <w:t>Ms. DiCristina reminded those in attendance to continue to refer to the Vision Statements (which can be found below) and to insure that each draft objective supports the vision.</w:t>
      </w:r>
    </w:p>
    <w:p w14:paraId="534B06F6" w14:textId="77777777" w:rsidR="0021267F" w:rsidRDefault="0021267F" w:rsidP="009B057C">
      <w:pPr>
        <w:widowControl w:val="0"/>
        <w:jc w:val="left"/>
        <w:outlineLvl w:val="0"/>
        <w:rPr>
          <w:rFonts w:asciiTheme="minorHAnsi" w:hAnsiTheme="minorHAnsi" w:cs="Calibri"/>
          <w:szCs w:val="24"/>
        </w:rPr>
      </w:pPr>
    </w:p>
    <w:p w14:paraId="05F625E4" w14:textId="751CC70E" w:rsidR="0021267F" w:rsidRDefault="0021267F" w:rsidP="0021267F">
      <w:pPr>
        <w:widowControl w:val="0"/>
        <w:jc w:val="center"/>
        <w:outlineLvl w:val="0"/>
      </w:pPr>
      <w:r>
        <w:t>MONTREAT TOMORROW VISION STATEMENTS</w:t>
      </w:r>
    </w:p>
    <w:p w14:paraId="5BC5E6A9" w14:textId="77777777" w:rsidR="0021267F" w:rsidRDefault="0021267F" w:rsidP="0021267F">
      <w:pPr>
        <w:widowControl w:val="0"/>
        <w:jc w:val="center"/>
        <w:outlineLvl w:val="0"/>
      </w:pPr>
    </w:p>
    <w:p w14:paraId="6C0D5A65" w14:textId="77777777" w:rsidR="0021267F" w:rsidRDefault="0021267F" w:rsidP="009B057C">
      <w:pPr>
        <w:widowControl w:val="0"/>
        <w:jc w:val="left"/>
        <w:outlineLvl w:val="0"/>
      </w:pPr>
      <w:r w:rsidRPr="0021267F">
        <w:rPr>
          <w:u w:val="single"/>
        </w:rPr>
        <w:t>Environment</w:t>
      </w:r>
      <w:r>
        <w:t xml:space="preserve">: Montreat values and protects its tree canopy, streams, land, and natural beauty. </w:t>
      </w:r>
      <w:r w:rsidRPr="0021267F">
        <w:rPr>
          <w:u w:val="single"/>
        </w:rPr>
        <w:t>Development</w:t>
      </w:r>
      <w:r>
        <w:t>: Montreat will be a community that respects buildings with historic value and encourages new development to be polite to the surrounding architecture.</w:t>
      </w:r>
    </w:p>
    <w:p w14:paraId="44B7F00B" w14:textId="77777777" w:rsidR="0021267F" w:rsidRDefault="0021267F" w:rsidP="009B057C">
      <w:pPr>
        <w:widowControl w:val="0"/>
        <w:jc w:val="left"/>
        <w:outlineLvl w:val="0"/>
      </w:pPr>
      <w:r w:rsidRPr="0021267F">
        <w:rPr>
          <w:u w:val="single"/>
        </w:rPr>
        <w:lastRenderedPageBreak/>
        <w:t>Community Character</w:t>
      </w:r>
      <w:r>
        <w:t xml:space="preserve">: </w:t>
      </w:r>
      <w:proofErr w:type="spellStart"/>
      <w:r>
        <w:t>Montreat’s</w:t>
      </w:r>
      <w:proofErr w:type="spellEnd"/>
      <w:r>
        <w:t xml:space="preserve"> community will honor the rich historic character of its built environment and preserve the beauty of its mountain surroundings, taking into account the need for resilience in the face of a changing climate. </w:t>
      </w:r>
    </w:p>
    <w:p w14:paraId="36D3E0C3" w14:textId="17D9A4D4" w:rsidR="0021267F" w:rsidRDefault="0021267F" w:rsidP="009B057C">
      <w:pPr>
        <w:widowControl w:val="0"/>
        <w:jc w:val="left"/>
        <w:outlineLvl w:val="0"/>
      </w:pPr>
      <w:r w:rsidRPr="0021267F">
        <w:rPr>
          <w:u w:val="single"/>
        </w:rPr>
        <w:t>T</w:t>
      </w:r>
      <w:r w:rsidRPr="0021267F">
        <w:rPr>
          <w:u w:val="single"/>
        </w:rPr>
        <w:t>ransportation</w:t>
      </w:r>
      <w:r>
        <w:t>: Montreat will be accessible for people as they age, safe for children and families, and calm for those driving, biking, and walking</w:t>
      </w:r>
      <w:r>
        <w:t>.</w:t>
      </w:r>
    </w:p>
    <w:p w14:paraId="4E07AF37" w14:textId="77777777" w:rsidR="0021267F" w:rsidRDefault="0021267F" w:rsidP="009B057C">
      <w:pPr>
        <w:widowControl w:val="0"/>
        <w:jc w:val="left"/>
        <w:outlineLvl w:val="0"/>
      </w:pPr>
    </w:p>
    <w:p w14:paraId="34BA06E7" w14:textId="77777777" w:rsidR="00A63E95" w:rsidRDefault="0021267F" w:rsidP="009B057C">
      <w:pPr>
        <w:widowControl w:val="0"/>
        <w:jc w:val="left"/>
        <w:outlineLvl w:val="0"/>
      </w:pPr>
      <w:r>
        <w:t>The following objectives were drafted for the Montreat Tomorrow Plan based on public participation comments and Steering Committee feedback. These objectives contain “do not support” and “strongly do not support” votes. The Town of Montreat must decide whether to include or not include these objectives in the new Comprehensive Plan.</w:t>
      </w:r>
    </w:p>
    <w:p w14:paraId="3DBFB2F3" w14:textId="77777777" w:rsidR="00A63E95" w:rsidRDefault="00A63E95" w:rsidP="009B057C">
      <w:pPr>
        <w:widowControl w:val="0"/>
        <w:jc w:val="left"/>
        <w:outlineLvl w:val="0"/>
      </w:pPr>
    </w:p>
    <w:p w14:paraId="0A5104B6" w14:textId="6364FE77" w:rsidR="00A63E95" w:rsidRDefault="0021267F" w:rsidP="009B057C">
      <w:pPr>
        <w:widowControl w:val="0"/>
        <w:jc w:val="left"/>
        <w:outlineLvl w:val="0"/>
      </w:pPr>
      <w:r>
        <w:t xml:space="preserve">The first objective discussed was </w:t>
      </w:r>
      <w:r>
        <w:t>Environment 6: As part of a greater Town-wide Climate Resiliency plan, work with local and regional partners to conduct an energy audit of privately owned buildings and major institutions to assess options for energy savings and reduction.</w:t>
      </w:r>
      <w:r w:rsidR="00A63E95">
        <w:t xml:space="preserve">  Ms. DiCristina advised that the Town of Montreat is part of a regional plan that addresses climate resiliency.  It was decided it was not consistent with the objectives.</w:t>
      </w:r>
      <w:r w:rsidR="00692BA7">
        <w:t xml:space="preserve">  </w:t>
      </w:r>
      <w:r w:rsidR="00692BA7">
        <w:t>Environment 7: Support private property owners in the creation of conservation easements on private land within the areas this plan identifies as having high-risk environmental assets.</w:t>
      </w:r>
      <w:r w:rsidR="00692BA7">
        <w:t xml:space="preserve">  Ms. DiCristina advised that in order for this objective to stay a definition would be needed for “high-risk environmental assets”.  Ms. DiCristina advised this would further efforts for the creation of conservation easements.  It was decided to explore conservation easements as a tool for land preservation/protection.  </w:t>
      </w:r>
    </w:p>
    <w:p w14:paraId="6DFAB717" w14:textId="77777777" w:rsidR="0021267F" w:rsidRDefault="0021267F" w:rsidP="009B057C">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77AB9EBF" w14:textId="063031C2" w:rsidR="000C70AB" w:rsidRDefault="00BB3E27" w:rsidP="001B75A6">
      <w:pPr>
        <w:widowControl w:val="0"/>
        <w:jc w:val="left"/>
        <w:outlineLvl w:val="0"/>
        <w:rPr>
          <w:rFonts w:asciiTheme="minorHAnsi" w:hAnsiTheme="minorHAnsi" w:cs="Calibri"/>
          <w:szCs w:val="24"/>
        </w:rPr>
      </w:pPr>
      <w:r>
        <w:rPr>
          <w:rFonts w:asciiTheme="minorHAnsi" w:hAnsiTheme="minorHAnsi" w:cs="Calibri"/>
          <w:szCs w:val="24"/>
        </w:rPr>
        <w:t xml:space="preserve"> </w:t>
      </w:r>
      <w:r w:rsidR="004B1AD1">
        <w:rPr>
          <w:rFonts w:asciiTheme="minorHAnsi" w:hAnsiTheme="minorHAnsi" w:cs="Calibri"/>
          <w:szCs w:val="24"/>
        </w:rPr>
        <w:t>There was no public comment.</w:t>
      </w:r>
    </w:p>
    <w:p w14:paraId="0F6DC58E" w14:textId="3D93BE04"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  </w:t>
      </w: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5B8E1424" w:rsidR="00A851EF" w:rsidRPr="000E1BBC" w:rsidRDefault="009B2CBE" w:rsidP="000E1BBC">
      <w:pPr>
        <w:jc w:val="left"/>
        <w:rPr>
          <w:rFonts w:asciiTheme="majorHAnsi" w:hAnsiTheme="majorHAnsi"/>
          <w:b/>
          <w:u w:val="single"/>
        </w:rPr>
      </w:pPr>
      <w:r>
        <w:rPr>
          <w:rFonts w:asciiTheme="minorHAnsi" w:hAnsiTheme="minorHAnsi"/>
        </w:rPr>
        <w:t>Dr. Paul Maurer</w:t>
      </w:r>
      <w:r w:rsidR="00F13CAE">
        <w:rPr>
          <w:rFonts w:asciiTheme="minorHAnsi" w:hAnsiTheme="minorHAnsi"/>
        </w:rPr>
        <w:t xml:space="preserve"> moved to adjou</w:t>
      </w:r>
      <w:r>
        <w:rPr>
          <w:rFonts w:asciiTheme="minorHAnsi" w:hAnsiTheme="minorHAnsi"/>
        </w:rPr>
        <w:t>rn the meeting.  Mr. Richard DuBose</w:t>
      </w:r>
      <w:r w:rsidR="00F13CAE">
        <w:rPr>
          <w:rFonts w:asciiTheme="minorHAnsi" w:hAnsiTheme="minorHAnsi"/>
        </w:rPr>
        <w:t xml:space="preserve"> s</w:t>
      </w:r>
      <w:r>
        <w:rPr>
          <w:rFonts w:asciiTheme="minorHAnsi" w:hAnsiTheme="minorHAnsi"/>
        </w:rPr>
        <w:t>econded and the motion carried 7</w:t>
      </w:r>
      <w:r w:rsidR="00F13CAE">
        <w:rPr>
          <w:rFonts w:asciiTheme="minorHAnsi" w:hAnsiTheme="minorHAnsi"/>
        </w:rPr>
        <w:t xml:space="preserve">/0.  </w:t>
      </w:r>
      <w:r w:rsidR="00CC159E">
        <w:rPr>
          <w:rFonts w:asciiTheme="minorHAnsi" w:hAnsiTheme="minorHAnsi"/>
        </w:rPr>
        <w:t>The me</w:t>
      </w:r>
      <w:r w:rsidR="0030743D">
        <w:rPr>
          <w:rFonts w:asciiTheme="minorHAnsi" w:hAnsiTheme="minorHAnsi"/>
        </w:rPr>
        <w:t>eting</w:t>
      </w:r>
      <w:r>
        <w:rPr>
          <w:rFonts w:asciiTheme="minorHAnsi" w:hAnsiTheme="minorHAnsi"/>
        </w:rPr>
        <w:t xml:space="preserve"> was adjourned at 12:06</w:t>
      </w:r>
      <w:r w:rsidR="0043172E">
        <w:rPr>
          <w:rFonts w:asciiTheme="minorHAnsi" w:hAnsiTheme="minorHAnsi"/>
        </w:rPr>
        <w:t xml:space="preserve"> </w:t>
      </w:r>
      <w:r>
        <w:rPr>
          <w:rFonts w:asciiTheme="minorHAnsi" w:hAnsiTheme="minorHAnsi"/>
        </w:rPr>
        <w:t>p</w:t>
      </w:r>
      <w:bookmarkStart w:id="0" w:name="_GoBack"/>
      <w:bookmarkEnd w:id="0"/>
      <w:r w:rsidR="00A851EF">
        <w:rPr>
          <w:rFonts w:asciiTheme="minorHAnsi" w:hAnsiTheme="minorHAnsi"/>
        </w:rPr>
        <w:t>.m.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5FD7D9B" w:rsidR="00A851EF" w:rsidRPr="00A851EF" w:rsidRDefault="00963EFB" w:rsidP="00A851EF">
      <w:pPr>
        <w:jc w:val="left"/>
        <w:rPr>
          <w:rFonts w:asciiTheme="minorHAnsi" w:hAnsiTheme="minorHAnsi"/>
        </w:rPr>
      </w:pPr>
      <w:r>
        <w:rPr>
          <w:rFonts w:asciiTheme="minorHAnsi" w:hAnsiTheme="minorHAnsi"/>
        </w:rPr>
        <w:t>Tim Helms, 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1"/>
      <w:headerReference w:type="default" r:id="rId12"/>
      <w:headerReference w:type="first" r:id="rId13"/>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862697">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266A5FB1" w:rsidR="00E75C64" w:rsidRDefault="00862697"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January 25</w:t>
    </w:r>
    <w:r w:rsidR="00F00860">
      <w:rPr>
        <w:rFonts w:ascii="Cambria" w:hAnsi="Cambria"/>
        <w:b/>
        <w:szCs w:val="24"/>
      </w:rPr>
      <w:t>,</w:t>
    </w:r>
    <w:r>
      <w:rPr>
        <w:rFonts w:ascii="Cambria" w:hAnsi="Cambria"/>
        <w:b/>
        <w:szCs w:val="24"/>
      </w:rPr>
      <w:t xml:space="preserve"> 2023 – 10:3</w:t>
    </w:r>
    <w:r w:rsidR="006420A2">
      <w:rPr>
        <w:rFonts w:ascii="Cambria" w:hAnsi="Cambria"/>
        <w:b/>
        <w:szCs w:val="24"/>
      </w:rPr>
      <w:t>0 a</w:t>
    </w:r>
    <w:r w:rsidR="00E75C64">
      <w:rPr>
        <w:rFonts w:ascii="Cambria" w:hAnsi="Cambria"/>
        <w:b/>
        <w:szCs w:val="24"/>
      </w:rPr>
      <w:t>.m.</w:t>
    </w:r>
  </w:p>
  <w:p w14:paraId="464AFFD2" w14:textId="3260ABBD" w:rsidR="00E75C64" w:rsidRPr="008532F6" w:rsidRDefault="006420A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672C5CD8" w:rsidR="00E75C64" w:rsidRPr="00180593" w:rsidRDefault="00975753"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 xml:space="preserve">January </w:t>
    </w:r>
    <w:r w:rsidR="00BD0486">
      <w:rPr>
        <w:rFonts w:ascii="Cambria" w:hAnsi="Cambria"/>
        <w:b/>
        <w:szCs w:val="24"/>
      </w:rPr>
      <w:t>25</w:t>
    </w:r>
    <w:r>
      <w:rPr>
        <w:rFonts w:ascii="Cambria" w:hAnsi="Cambria"/>
        <w:b/>
        <w:szCs w:val="24"/>
      </w:rPr>
      <w:t>, 2023</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548F"/>
    <w:multiLevelType w:val="hybridMultilevel"/>
    <w:tmpl w:val="5498BF7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523932"/>
    <w:multiLevelType w:val="hybridMultilevel"/>
    <w:tmpl w:val="02526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1"/>
  </w:num>
  <w:num w:numId="3">
    <w:abstractNumId w:val="21"/>
  </w:num>
  <w:num w:numId="4">
    <w:abstractNumId w:val="23"/>
  </w:num>
  <w:num w:numId="5">
    <w:abstractNumId w:val="33"/>
  </w:num>
  <w:num w:numId="6">
    <w:abstractNumId w:val="37"/>
  </w:num>
  <w:num w:numId="7">
    <w:abstractNumId w:val="0"/>
  </w:num>
  <w:num w:numId="8">
    <w:abstractNumId w:val="5"/>
  </w:num>
  <w:num w:numId="9">
    <w:abstractNumId w:val="30"/>
  </w:num>
  <w:num w:numId="10">
    <w:abstractNumId w:val="8"/>
  </w:num>
  <w:num w:numId="11">
    <w:abstractNumId w:val="28"/>
  </w:num>
  <w:num w:numId="12">
    <w:abstractNumId w:val="32"/>
  </w:num>
  <w:num w:numId="13">
    <w:abstractNumId w:val="22"/>
  </w:num>
  <w:num w:numId="14">
    <w:abstractNumId w:val="25"/>
  </w:num>
  <w:num w:numId="15">
    <w:abstractNumId w:val="26"/>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8"/>
  </w:num>
  <w:num w:numId="28">
    <w:abstractNumId w:val="27"/>
  </w:num>
  <w:num w:numId="29">
    <w:abstractNumId w:val="2"/>
  </w:num>
  <w:num w:numId="30">
    <w:abstractNumId w:val="10"/>
  </w:num>
  <w:num w:numId="31">
    <w:abstractNumId w:val="16"/>
  </w:num>
  <w:num w:numId="32">
    <w:abstractNumId w:val="18"/>
  </w:num>
  <w:num w:numId="33">
    <w:abstractNumId w:val="36"/>
  </w:num>
  <w:num w:numId="34">
    <w:abstractNumId w:val="34"/>
  </w:num>
  <w:num w:numId="35">
    <w:abstractNumId w:val="35"/>
  </w:num>
  <w:num w:numId="36">
    <w:abstractNumId w:val="3"/>
  </w:num>
  <w:num w:numId="37">
    <w:abstractNumId w:val="14"/>
  </w:num>
  <w:num w:numId="38">
    <w:abstractNumId w:val="24"/>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4E20"/>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61E"/>
    <w:rsid w:val="00031864"/>
    <w:rsid w:val="00031CE6"/>
    <w:rsid w:val="00032261"/>
    <w:rsid w:val="000325C9"/>
    <w:rsid w:val="00032795"/>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2FA4"/>
    <w:rsid w:val="0004314E"/>
    <w:rsid w:val="00043286"/>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2A9C"/>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697"/>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783"/>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2FF"/>
    <w:rsid w:val="000B64CE"/>
    <w:rsid w:val="000B6901"/>
    <w:rsid w:val="000B6E21"/>
    <w:rsid w:val="000B7245"/>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0AB"/>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7D8"/>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5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26B"/>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4F17"/>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5A6"/>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4ED"/>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67F"/>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53"/>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983"/>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1E"/>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3CA"/>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4DE0"/>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9D6"/>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EAB"/>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3E"/>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29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2E9"/>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12D"/>
    <w:rsid w:val="004122C5"/>
    <w:rsid w:val="00412738"/>
    <w:rsid w:val="004127EC"/>
    <w:rsid w:val="004127FD"/>
    <w:rsid w:val="00412DAC"/>
    <w:rsid w:val="00413497"/>
    <w:rsid w:val="00413AA6"/>
    <w:rsid w:val="00413C6C"/>
    <w:rsid w:val="004142F4"/>
    <w:rsid w:val="0041486C"/>
    <w:rsid w:val="00414CB1"/>
    <w:rsid w:val="00414E40"/>
    <w:rsid w:val="00414E58"/>
    <w:rsid w:val="00414FE3"/>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3DD6"/>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8BD"/>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AD1"/>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6"/>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C03"/>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5AA"/>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71E"/>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BBD"/>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1B"/>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AE0"/>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2826"/>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6D79"/>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7D6"/>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0A2"/>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DCA"/>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9AE"/>
    <w:rsid w:val="00690B99"/>
    <w:rsid w:val="00690EAF"/>
    <w:rsid w:val="00690F0F"/>
    <w:rsid w:val="00690FBE"/>
    <w:rsid w:val="00691018"/>
    <w:rsid w:val="0069118B"/>
    <w:rsid w:val="00691A5A"/>
    <w:rsid w:val="00691AC1"/>
    <w:rsid w:val="00691D3D"/>
    <w:rsid w:val="00692102"/>
    <w:rsid w:val="0069229E"/>
    <w:rsid w:val="00692458"/>
    <w:rsid w:val="00692BA7"/>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E8B"/>
    <w:rsid w:val="007A1F1F"/>
    <w:rsid w:val="007A20E4"/>
    <w:rsid w:val="007A2162"/>
    <w:rsid w:val="007A2198"/>
    <w:rsid w:val="007A2629"/>
    <w:rsid w:val="007A2A58"/>
    <w:rsid w:val="007A3250"/>
    <w:rsid w:val="007A3287"/>
    <w:rsid w:val="007A3441"/>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AB7"/>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39B"/>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5B2"/>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BD7"/>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1E"/>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697"/>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1F71"/>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895"/>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939"/>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753"/>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57C"/>
    <w:rsid w:val="009B064E"/>
    <w:rsid w:val="009B0836"/>
    <w:rsid w:val="009B09E8"/>
    <w:rsid w:val="009B0B1C"/>
    <w:rsid w:val="009B0CBE"/>
    <w:rsid w:val="009B0DFC"/>
    <w:rsid w:val="009B106F"/>
    <w:rsid w:val="009B1C17"/>
    <w:rsid w:val="009B1C65"/>
    <w:rsid w:val="009B2215"/>
    <w:rsid w:val="009B25A4"/>
    <w:rsid w:val="009B2CBE"/>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3B71"/>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53"/>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7BC"/>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8E8"/>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3E95"/>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2A6"/>
    <w:rsid w:val="00A82DEB"/>
    <w:rsid w:val="00A82F02"/>
    <w:rsid w:val="00A831F3"/>
    <w:rsid w:val="00A83233"/>
    <w:rsid w:val="00A8363F"/>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621"/>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0DAF"/>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5FEF"/>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82"/>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DA6"/>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486"/>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5C8"/>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0C08"/>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209"/>
    <w:rsid w:val="00C24631"/>
    <w:rsid w:val="00C24F1C"/>
    <w:rsid w:val="00C25021"/>
    <w:rsid w:val="00C256F9"/>
    <w:rsid w:val="00C259AE"/>
    <w:rsid w:val="00C26BE6"/>
    <w:rsid w:val="00C2720B"/>
    <w:rsid w:val="00C27356"/>
    <w:rsid w:val="00C27375"/>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7CF"/>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224"/>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DA0"/>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5BB7"/>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A6D"/>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349"/>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05"/>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3AAD"/>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8FA"/>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C7D2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2F08"/>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510"/>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AC9"/>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1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B7E"/>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A09"/>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3E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0D36"/>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917"/>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1D9"/>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CAE"/>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54F"/>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BAB"/>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CED"/>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2E4"/>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1ADA"/>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6EDC"/>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0AE"/>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 w:type="paragraph" w:customStyle="1" w:styleId="Pa4">
    <w:name w:val="Pa4"/>
    <w:basedOn w:val="Default"/>
    <w:next w:val="Default"/>
    <w:uiPriority w:val="99"/>
    <w:rsid w:val="0003161E"/>
    <w:pPr>
      <w:spacing w:line="201" w:lineRule="atLeast"/>
    </w:pPr>
    <w:rPr>
      <w:rFonts w:ascii="Montserrat" w:eastAsiaTheme="minorHAnsi" w:hAnsi="Montserrat" w:cstheme="minorBidi"/>
      <w:color w:val="auto"/>
    </w:rPr>
  </w:style>
  <w:style w:type="paragraph" w:customStyle="1" w:styleId="Pa5">
    <w:name w:val="Pa5"/>
    <w:basedOn w:val="Default"/>
    <w:next w:val="Default"/>
    <w:uiPriority w:val="99"/>
    <w:rsid w:val="0003161E"/>
    <w:pPr>
      <w:spacing w:line="241" w:lineRule="atLeast"/>
    </w:pPr>
    <w:rPr>
      <w:rFonts w:ascii="Montserrat" w:eastAsiaTheme="minorHAnsi" w:hAnsi="Montserrat" w:cstheme="minorBidi"/>
      <w:color w:val="auto"/>
    </w:rPr>
  </w:style>
  <w:style w:type="character" w:customStyle="1" w:styleId="A1">
    <w:name w:val="A1"/>
    <w:uiPriority w:val="99"/>
    <w:rsid w:val="0003161E"/>
    <w:rPr>
      <w:rFonts w:cs="Montserra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c1dDoW0fU&amp;t=757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93C49-7E0B-421D-AED5-47DF2A20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5865</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2021-07-09T13:15:00Z</cp:lastPrinted>
  <dcterms:created xsi:type="dcterms:W3CDTF">2023-01-26T19:39:00Z</dcterms:created>
  <dcterms:modified xsi:type="dcterms:W3CDTF">2023-01-30T21:37:00Z</dcterms:modified>
</cp:coreProperties>
</file>