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AF3A" w14:textId="2F0C474C" w:rsidR="00AB7A5D" w:rsidRPr="00296DB5" w:rsidRDefault="00296DB5">
      <w:pPr>
        <w:rPr>
          <w:rFonts w:cstheme="minorHAnsi"/>
        </w:rPr>
      </w:pPr>
      <w:bookmarkStart w:id="0" w:name="_GoBack"/>
      <w:r w:rsidRPr="00296DB5">
        <w:rPr>
          <w:rFonts w:cstheme="minorHAnsi"/>
        </w:rPr>
        <w:t>Questions from May 28 Budget Public Hearing</w:t>
      </w:r>
    </w:p>
    <w:p w14:paraId="0517EF81" w14:textId="024BD786" w:rsidR="00296DB5" w:rsidRPr="00296DB5" w:rsidRDefault="00296DB5">
      <w:pPr>
        <w:rPr>
          <w:rFonts w:cstheme="minorHAnsi"/>
        </w:rPr>
      </w:pPr>
    </w:p>
    <w:p w14:paraId="63EBD660" w14:textId="341D80CD"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Why do you need to increase the taxes by ~5%?</w:t>
      </w:r>
    </w:p>
    <w:p w14:paraId="6AE30B6A" w14:textId="725E0688" w:rsidR="00594DA1" w:rsidRPr="00DD09BB" w:rsidRDefault="00594DA1" w:rsidP="00DD09BB">
      <w:pPr>
        <w:spacing w:after="0" w:line="240" w:lineRule="auto"/>
        <w:ind w:left="360" w:firstLine="360"/>
        <w:rPr>
          <w:rFonts w:eastAsia="Calibri" w:cstheme="minorHAnsi"/>
          <w:color w:val="2F5496" w:themeColor="accent1" w:themeShade="BF"/>
          <w:sz w:val="24"/>
          <w:szCs w:val="24"/>
        </w:rPr>
      </w:pPr>
      <w:r w:rsidRPr="00DD09BB">
        <w:rPr>
          <w:rFonts w:eastAsia="Calibri" w:cstheme="minorHAnsi"/>
          <w:color w:val="2F5496" w:themeColor="accent1" w:themeShade="BF"/>
          <w:sz w:val="24"/>
          <w:szCs w:val="24"/>
        </w:rPr>
        <w:t>Raising the tax rate from .41 to .43 will increase revenues by roughly $50,000.</w:t>
      </w:r>
    </w:p>
    <w:p w14:paraId="1C2D8738" w14:textId="77777777" w:rsidR="00594DA1" w:rsidRPr="00594DA1" w:rsidRDefault="00594DA1" w:rsidP="00296DB5">
      <w:pPr>
        <w:spacing w:after="0" w:line="240" w:lineRule="auto"/>
        <w:rPr>
          <w:rFonts w:eastAsia="Calibri" w:cstheme="minorHAnsi"/>
          <w:color w:val="2F5496" w:themeColor="accent1" w:themeShade="BF"/>
          <w:sz w:val="24"/>
          <w:szCs w:val="24"/>
        </w:rPr>
      </w:pPr>
    </w:p>
    <w:p w14:paraId="698C073A" w14:textId="79730AEF" w:rsidR="00296DB5" w:rsidRPr="00DD09BB" w:rsidRDefault="00296DB5" w:rsidP="00DD09BB">
      <w:pPr>
        <w:pStyle w:val="ListParagraph"/>
        <w:numPr>
          <w:ilvl w:val="0"/>
          <w:numId w:val="1"/>
        </w:numPr>
        <w:spacing w:after="0" w:line="240" w:lineRule="auto"/>
        <w:rPr>
          <w:rFonts w:eastAsia="Calibri" w:cstheme="minorHAnsi"/>
          <w:color w:val="2F5496" w:themeColor="accent1" w:themeShade="BF"/>
          <w:sz w:val="24"/>
          <w:szCs w:val="24"/>
        </w:rPr>
      </w:pPr>
      <w:r w:rsidRPr="00DD09BB">
        <w:rPr>
          <w:rFonts w:eastAsia="Calibri" w:cstheme="minorHAnsi"/>
          <w:sz w:val="24"/>
          <w:szCs w:val="24"/>
        </w:rPr>
        <w:t>So the balanced budget is by increasing taxes why not use some of the money over-collected during the past many years?</w:t>
      </w:r>
      <w:r w:rsidR="00594DA1" w:rsidRPr="00DD09BB">
        <w:rPr>
          <w:rFonts w:eastAsia="Calibri" w:cstheme="minorHAnsi"/>
          <w:sz w:val="24"/>
          <w:szCs w:val="24"/>
        </w:rPr>
        <w:t xml:space="preserve"> </w:t>
      </w:r>
    </w:p>
    <w:p w14:paraId="4D776A2F" w14:textId="10E3270D" w:rsidR="00594DA1" w:rsidRPr="00DD09BB" w:rsidRDefault="00594DA1" w:rsidP="00DD09BB">
      <w:pPr>
        <w:spacing w:after="0" w:line="240" w:lineRule="auto"/>
        <w:ind w:left="360" w:firstLine="360"/>
        <w:rPr>
          <w:rFonts w:eastAsia="Calibri" w:cstheme="minorHAnsi"/>
          <w:color w:val="2F5496" w:themeColor="accent1" w:themeShade="BF"/>
          <w:sz w:val="24"/>
          <w:szCs w:val="24"/>
        </w:rPr>
      </w:pPr>
      <w:r w:rsidRPr="00DD09BB">
        <w:rPr>
          <w:rFonts w:eastAsia="Calibri" w:cstheme="minorHAnsi"/>
          <w:color w:val="2F5496" w:themeColor="accent1" w:themeShade="BF"/>
          <w:sz w:val="24"/>
          <w:szCs w:val="24"/>
        </w:rPr>
        <w:t xml:space="preserve">The budget also calls for an appropriation from the general fund balance.  </w:t>
      </w:r>
    </w:p>
    <w:p w14:paraId="3DC1918A" w14:textId="77777777" w:rsidR="00DD09BB" w:rsidRDefault="00DD09BB" w:rsidP="00296DB5">
      <w:pPr>
        <w:spacing w:after="0" w:line="240" w:lineRule="auto"/>
        <w:rPr>
          <w:rFonts w:eastAsia="Calibri" w:cstheme="minorHAnsi"/>
          <w:sz w:val="24"/>
          <w:szCs w:val="24"/>
        </w:rPr>
      </w:pPr>
    </w:p>
    <w:p w14:paraId="1E4D954D" w14:textId="4C1ADDF3"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Do you have designated times in this next year for revisions in the budget?</w:t>
      </w:r>
    </w:p>
    <w:p w14:paraId="2F84F7C9" w14:textId="63F1F381" w:rsidR="00623DD4" w:rsidRPr="00420800" w:rsidRDefault="00420800"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Revenues and expenses will be reported monthly. At mid-year trends will be analyzed and changes considered. </w:t>
      </w:r>
    </w:p>
    <w:p w14:paraId="396F79C9" w14:textId="77777777" w:rsidR="00623DD4" w:rsidRDefault="00623DD4" w:rsidP="00623DD4">
      <w:pPr>
        <w:pStyle w:val="ListParagraph"/>
        <w:spacing w:after="0" w:line="240" w:lineRule="auto"/>
        <w:rPr>
          <w:rFonts w:eastAsia="Calibri" w:cstheme="minorHAnsi"/>
          <w:sz w:val="24"/>
          <w:szCs w:val="24"/>
        </w:rPr>
      </w:pPr>
    </w:p>
    <w:p w14:paraId="21656B0A" w14:textId="1BE4B1C8"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What plans are in place to cut expenses if the projected income appears to fall short?</w:t>
      </w:r>
    </w:p>
    <w:p w14:paraId="0729FA73" w14:textId="15088803" w:rsidR="00623DD4" w:rsidRPr="00420800" w:rsidRDefault="00420800"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A mid-year review will analyze revenue and expense trends. Necessary recommendations will be developed based on that analysis. </w:t>
      </w:r>
    </w:p>
    <w:p w14:paraId="70CE10A6" w14:textId="77777777" w:rsidR="00623DD4" w:rsidRDefault="00623DD4" w:rsidP="00623DD4">
      <w:pPr>
        <w:pStyle w:val="ListParagraph"/>
        <w:spacing w:after="0" w:line="240" w:lineRule="auto"/>
        <w:rPr>
          <w:rFonts w:eastAsia="Calibri" w:cstheme="minorHAnsi"/>
          <w:sz w:val="24"/>
          <w:szCs w:val="24"/>
        </w:rPr>
      </w:pPr>
    </w:p>
    <w:p w14:paraId="4AC81DB9" w14:textId="049FF295"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What are the worst-case scenarios for income and expenses that you have projected?</w:t>
      </w:r>
    </w:p>
    <w:p w14:paraId="3B9D72E3" w14:textId="5DA89B74" w:rsidR="00623DD4" w:rsidRPr="00A72CCE" w:rsidRDefault="00A72CCE"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The proposed budget is a conservative budget, meaning that </w:t>
      </w:r>
      <w:r w:rsidR="0051482A">
        <w:rPr>
          <w:rFonts w:eastAsia="Calibri" w:cstheme="minorHAnsi"/>
          <w:color w:val="4472C4" w:themeColor="accent1"/>
          <w:sz w:val="24"/>
          <w:szCs w:val="24"/>
        </w:rPr>
        <w:t xml:space="preserve">that we budgeted revenues </w:t>
      </w:r>
      <w:r w:rsidR="000F502A">
        <w:rPr>
          <w:rFonts w:eastAsia="Calibri" w:cstheme="minorHAnsi"/>
          <w:color w:val="4472C4" w:themeColor="accent1"/>
          <w:sz w:val="24"/>
          <w:szCs w:val="24"/>
        </w:rPr>
        <w:t xml:space="preserve">assuming shortfalls would be stark. </w:t>
      </w:r>
      <w:r>
        <w:rPr>
          <w:rFonts w:eastAsia="Calibri" w:cstheme="minorHAnsi"/>
          <w:color w:val="4472C4" w:themeColor="accent1"/>
          <w:sz w:val="24"/>
          <w:szCs w:val="24"/>
        </w:rPr>
        <w:t xml:space="preserve"> </w:t>
      </w:r>
      <w:r w:rsidR="000F502A">
        <w:rPr>
          <w:rFonts w:eastAsia="Calibri" w:cstheme="minorHAnsi"/>
          <w:color w:val="4472C4" w:themeColor="accent1"/>
          <w:sz w:val="24"/>
          <w:szCs w:val="24"/>
        </w:rPr>
        <w:t xml:space="preserve">Some local governments are projecting sales tax revenues to decline between 11% and 30%. There is not much consensus for either extreme. We have followed the model of economists working with the League of Municipalities to budget for an 18% shortfall. </w:t>
      </w:r>
    </w:p>
    <w:p w14:paraId="08A817D9" w14:textId="77777777" w:rsidR="00623DD4" w:rsidRDefault="00623DD4" w:rsidP="00623DD4">
      <w:pPr>
        <w:pStyle w:val="ListParagraph"/>
        <w:spacing w:after="0" w:line="240" w:lineRule="auto"/>
        <w:rPr>
          <w:rFonts w:eastAsia="Calibri" w:cstheme="minorHAnsi"/>
          <w:sz w:val="24"/>
          <w:szCs w:val="24"/>
        </w:rPr>
      </w:pPr>
    </w:p>
    <w:p w14:paraId="7A2919CC" w14:textId="2C61B65A"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If total valuation increases each year and expenses increase each year, what will happen if the total valuation decreases?</w:t>
      </w:r>
    </w:p>
    <w:p w14:paraId="41910F6E" w14:textId="5B71811F" w:rsidR="00623DD4" w:rsidRPr="002C0F7D" w:rsidRDefault="002C0F7D"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The NC Constitution requires municipalities to pass a balanced budget. There are multiple strategies, from cutting expenses, to raising revenues, to appropriating fund balance. Each year is evaluated independently and ultimately the Commission guides the process to apply the best strategy, or set of strategies, to each particular budget cycle.  </w:t>
      </w:r>
    </w:p>
    <w:p w14:paraId="1047363B" w14:textId="77777777" w:rsidR="00623DD4" w:rsidRDefault="00623DD4" w:rsidP="00623DD4">
      <w:pPr>
        <w:pStyle w:val="ListParagraph"/>
        <w:spacing w:after="0" w:line="240" w:lineRule="auto"/>
        <w:rPr>
          <w:rFonts w:eastAsia="Calibri" w:cstheme="minorHAnsi"/>
          <w:sz w:val="24"/>
          <w:szCs w:val="24"/>
        </w:rPr>
      </w:pPr>
    </w:p>
    <w:p w14:paraId="15CF8DEA" w14:textId="33A7A5D1"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What is the projected effect that Ridgecrest will have on Montreat valuations?</w:t>
      </w:r>
    </w:p>
    <w:p w14:paraId="490CC6E7" w14:textId="13199356" w:rsidR="00623DD4" w:rsidRPr="00B70BEF" w:rsidRDefault="00B70BEF"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We have not valuations </w:t>
      </w:r>
      <w:proofErr w:type="gramStart"/>
      <w:r>
        <w:rPr>
          <w:rFonts w:eastAsia="Calibri" w:cstheme="minorHAnsi"/>
          <w:color w:val="4472C4" w:themeColor="accent1"/>
          <w:sz w:val="24"/>
          <w:szCs w:val="24"/>
        </w:rPr>
        <w:t>at this time</w:t>
      </w:r>
      <w:proofErr w:type="gramEnd"/>
      <w:r>
        <w:rPr>
          <w:rFonts w:eastAsia="Calibri" w:cstheme="minorHAnsi"/>
          <w:color w:val="4472C4" w:themeColor="accent1"/>
          <w:sz w:val="24"/>
          <w:szCs w:val="24"/>
        </w:rPr>
        <w:t xml:space="preserve"> that specifically connect Ridgecrest to Montreat. </w:t>
      </w:r>
    </w:p>
    <w:p w14:paraId="0B10CC19" w14:textId="77777777" w:rsidR="00623DD4" w:rsidRDefault="00623DD4" w:rsidP="00623DD4">
      <w:pPr>
        <w:pStyle w:val="ListParagraph"/>
        <w:spacing w:after="0" w:line="240" w:lineRule="auto"/>
        <w:rPr>
          <w:rFonts w:eastAsia="Calibri" w:cstheme="minorHAnsi"/>
          <w:sz w:val="24"/>
          <w:szCs w:val="24"/>
        </w:rPr>
      </w:pPr>
    </w:p>
    <w:p w14:paraId="21D6C1C1" w14:textId="16F8276A"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Is an expense item for repairing the cracks in the roads to we do not have to spend more money on roads?</w:t>
      </w:r>
    </w:p>
    <w:p w14:paraId="2E85B696" w14:textId="79013629" w:rsidR="00623DD4" w:rsidRPr="00B70BEF" w:rsidRDefault="00B70BEF"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The Streets Department’s line 10-20-5600-340 is for “repair and widening.” </w:t>
      </w:r>
    </w:p>
    <w:p w14:paraId="3931ED0F" w14:textId="77777777" w:rsidR="00623DD4" w:rsidRDefault="00623DD4" w:rsidP="00623DD4">
      <w:pPr>
        <w:pStyle w:val="ListParagraph"/>
        <w:spacing w:after="0" w:line="240" w:lineRule="auto"/>
        <w:rPr>
          <w:rFonts w:eastAsia="Calibri" w:cstheme="minorHAnsi"/>
          <w:sz w:val="24"/>
          <w:szCs w:val="24"/>
        </w:rPr>
      </w:pPr>
    </w:p>
    <w:p w14:paraId="46D3CB6D" w14:textId="1E72A08B"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Has the water problem in the old town hall been solved? When will it be solved?</w:t>
      </w:r>
    </w:p>
    <w:p w14:paraId="422BACF0" w14:textId="1ACDEC11" w:rsidR="00623DD4" w:rsidRPr="00FC6761" w:rsidRDefault="00FC6761"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The water problem has been addressed but not solved. Previous administrations dug trenches along the back and side of the building as well as replaced the roof.  </w:t>
      </w:r>
    </w:p>
    <w:p w14:paraId="40861DAE" w14:textId="77777777" w:rsidR="00623DD4" w:rsidRDefault="00623DD4" w:rsidP="00623DD4">
      <w:pPr>
        <w:pStyle w:val="ListParagraph"/>
        <w:spacing w:after="0" w:line="240" w:lineRule="auto"/>
        <w:rPr>
          <w:rFonts w:eastAsia="Calibri" w:cstheme="minorHAnsi"/>
          <w:sz w:val="24"/>
          <w:szCs w:val="24"/>
        </w:rPr>
      </w:pPr>
    </w:p>
    <w:p w14:paraId="462FE4EC" w14:textId="2F1B1D46"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lastRenderedPageBreak/>
        <w:t>If t</w:t>
      </w:r>
      <w:r w:rsidR="0051482A">
        <w:rPr>
          <w:rFonts w:eastAsia="Calibri" w:cstheme="minorHAnsi"/>
          <w:sz w:val="24"/>
          <w:szCs w:val="24"/>
        </w:rPr>
        <w:t>here</w:t>
      </w:r>
      <w:r w:rsidRPr="00DD09BB">
        <w:rPr>
          <w:rFonts w:eastAsia="Calibri" w:cstheme="minorHAnsi"/>
          <w:sz w:val="24"/>
          <w:szCs w:val="24"/>
        </w:rPr>
        <w:t xml:space="preserve"> the Powell bill appropriation is zero for this year where was this money spent in the 2020-2021 budget?</w:t>
      </w:r>
    </w:p>
    <w:p w14:paraId="11278A9A" w14:textId="4BCF23BE" w:rsidR="00623DD4" w:rsidRPr="00FC6761" w:rsidRDefault="00FC6761"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Though capital outlay for the Streets Department is zeroed out this year, other eligible line items are funded. Such line items include ‘repair and widening’ and ‘road maintenance.’  </w:t>
      </w:r>
    </w:p>
    <w:p w14:paraId="66E116E7" w14:textId="77777777" w:rsidR="00623DD4" w:rsidRDefault="00623DD4" w:rsidP="00623DD4">
      <w:pPr>
        <w:pStyle w:val="ListParagraph"/>
        <w:spacing w:after="0" w:line="240" w:lineRule="auto"/>
        <w:rPr>
          <w:rFonts w:eastAsia="Calibri" w:cstheme="minorHAnsi"/>
          <w:sz w:val="24"/>
          <w:szCs w:val="24"/>
        </w:rPr>
      </w:pPr>
    </w:p>
    <w:p w14:paraId="4AD89A09" w14:textId="742D83D5"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Why did the retirement increase from 18-19 to 20-21 by ~</w:t>
      </w:r>
      <w:proofErr w:type="gramStart"/>
      <w:r w:rsidRPr="00DD09BB">
        <w:rPr>
          <w:rFonts w:eastAsia="Calibri" w:cstheme="minorHAnsi"/>
          <w:sz w:val="24"/>
          <w:szCs w:val="24"/>
        </w:rPr>
        <w:t>12,000</w:t>
      </w:r>
      <w:proofErr w:type="gramEnd"/>
    </w:p>
    <w:p w14:paraId="6812823A" w14:textId="13032F08" w:rsidR="00623DD4" w:rsidRPr="00A02C7A" w:rsidRDefault="00A02C7A"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Retirement for all departments increased by $9,318. The State mandates rates for the Pension system. This year’s budget reflects those costs. </w:t>
      </w:r>
    </w:p>
    <w:p w14:paraId="08A9AF24" w14:textId="77777777" w:rsidR="00623DD4" w:rsidRDefault="00623DD4" w:rsidP="00623DD4">
      <w:pPr>
        <w:pStyle w:val="ListParagraph"/>
        <w:spacing w:after="0" w:line="240" w:lineRule="auto"/>
        <w:rPr>
          <w:rFonts w:eastAsia="Calibri" w:cstheme="minorHAnsi"/>
          <w:sz w:val="24"/>
          <w:szCs w:val="24"/>
        </w:rPr>
      </w:pPr>
    </w:p>
    <w:p w14:paraId="4603C19E" w14:textId="3CCC84A4" w:rsidR="00514D86" w:rsidRDefault="00296DB5" w:rsidP="00514D86">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How does this line up with the average wage earner in Buncombe county receiving 3%?</w:t>
      </w:r>
    </w:p>
    <w:p w14:paraId="0D09604C" w14:textId="2F92548A" w:rsidR="00514D86" w:rsidRPr="00514D86" w:rsidRDefault="009D4CE4" w:rsidP="00514D86">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Local government</w:t>
      </w:r>
      <w:r w:rsidR="00514D86" w:rsidRPr="00514D86">
        <w:rPr>
          <w:rFonts w:eastAsia="Calibri" w:cstheme="minorHAnsi"/>
          <w:color w:val="4472C4" w:themeColor="accent1"/>
          <w:sz w:val="24"/>
          <w:szCs w:val="24"/>
        </w:rPr>
        <w:t xml:space="preserve"> workers in Buncombe County are budgeted for the following:</w:t>
      </w:r>
    </w:p>
    <w:p w14:paraId="56FA3D8E" w14:textId="591845B4" w:rsidR="00514D86" w:rsidRPr="00514D86" w:rsidRDefault="00514D86" w:rsidP="00514D86">
      <w:pPr>
        <w:pStyle w:val="ListParagraph"/>
        <w:spacing w:after="0" w:line="240" w:lineRule="auto"/>
        <w:rPr>
          <w:rFonts w:eastAsia="Calibri" w:cstheme="minorHAnsi"/>
          <w:color w:val="4472C4" w:themeColor="accent1"/>
          <w:sz w:val="24"/>
          <w:szCs w:val="24"/>
        </w:rPr>
      </w:pPr>
    </w:p>
    <w:tbl>
      <w:tblPr>
        <w:tblStyle w:val="TableGrid"/>
        <w:tblW w:w="0" w:type="auto"/>
        <w:tblInd w:w="720" w:type="dxa"/>
        <w:tblLook w:val="04A0" w:firstRow="1" w:lastRow="0" w:firstColumn="1" w:lastColumn="0" w:noHBand="0" w:noVBand="1"/>
      </w:tblPr>
      <w:tblGrid>
        <w:gridCol w:w="2898"/>
        <w:gridCol w:w="1777"/>
        <w:gridCol w:w="3955"/>
      </w:tblGrid>
      <w:tr w:rsidR="00514D86" w:rsidRPr="00514D86" w14:paraId="5D14DE4B" w14:textId="77777777" w:rsidTr="00514D86">
        <w:tc>
          <w:tcPr>
            <w:tcW w:w="2898" w:type="dxa"/>
          </w:tcPr>
          <w:p w14:paraId="3972B74F" w14:textId="77777777" w:rsidR="00514D86" w:rsidRPr="00514D86" w:rsidRDefault="00514D86" w:rsidP="00514D86">
            <w:pPr>
              <w:pStyle w:val="ListParagraph"/>
              <w:ind w:left="0"/>
              <w:rPr>
                <w:rFonts w:eastAsia="Calibri" w:cstheme="minorHAnsi"/>
                <w:color w:val="4472C4" w:themeColor="accent1"/>
                <w:sz w:val="24"/>
                <w:szCs w:val="24"/>
              </w:rPr>
            </w:pPr>
          </w:p>
        </w:tc>
        <w:tc>
          <w:tcPr>
            <w:tcW w:w="1777" w:type="dxa"/>
          </w:tcPr>
          <w:p w14:paraId="00EF16F0" w14:textId="71DE3D78"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COLA</w:t>
            </w:r>
          </w:p>
        </w:tc>
        <w:tc>
          <w:tcPr>
            <w:tcW w:w="3955" w:type="dxa"/>
          </w:tcPr>
          <w:p w14:paraId="6F4FA25E" w14:textId="08F49903"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Merit</w:t>
            </w:r>
          </w:p>
        </w:tc>
      </w:tr>
      <w:tr w:rsidR="00514D86" w:rsidRPr="00514D86" w14:paraId="47040DF6" w14:textId="77777777" w:rsidTr="00514D86">
        <w:tc>
          <w:tcPr>
            <w:tcW w:w="2898" w:type="dxa"/>
          </w:tcPr>
          <w:p w14:paraId="1BC7DD65" w14:textId="24AA7C38"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Montreat</w:t>
            </w:r>
          </w:p>
        </w:tc>
        <w:tc>
          <w:tcPr>
            <w:tcW w:w="1777" w:type="dxa"/>
          </w:tcPr>
          <w:p w14:paraId="5D851A25" w14:textId="433EAC11"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0%</w:t>
            </w:r>
          </w:p>
        </w:tc>
        <w:tc>
          <w:tcPr>
            <w:tcW w:w="3955" w:type="dxa"/>
          </w:tcPr>
          <w:p w14:paraId="5648EEF5" w14:textId="1E4821A3"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0%</w:t>
            </w:r>
          </w:p>
        </w:tc>
      </w:tr>
      <w:tr w:rsidR="00514D86" w:rsidRPr="00514D86" w14:paraId="360EC490" w14:textId="77777777" w:rsidTr="00514D86">
        <w:tc>
          <w:tcPr>
            <w:tcW w:w="2898" w:type="dxa"/>
          </w:tcPr>
          <w:p w14:paraId="019871DC" w14:textId="7E4DAC37"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Biltmore Forest</w:t>
            </w:r>
          </w:p>
        </w:tc>
        <w:tc>
          <w:tcPr>
            <w:tcW w:w="1777" w:type="dxa"/>
          </w:tcPr>
          <w:p w14:paraId="5054B014" w14:textId="704ACAFE"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2%</w:t>
            </w:r>
          </w:p>
        </w:tc>
        <w:tc>
          <w:tcPr>
            <w:tcW w:w="3955" w:type="dxa"/>
          </w:tcPr>
          <w:p w14:paraId="5BF3E115" w14:textId="54E7AA46"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0% with review in 6 months</w:t>
            </w:r>
          </w:p>
        </w:tc>
      </w:tr>
      <w:tr w:rsidR="00514D86" w:rsidRPr="00514D86" w14:paraId="070E3064" w14:textId="77777777" w:rsidTr="00514D86">
        <w:tc>
          <w:tcPr>
            <w:tcW w:w="2898" w:type="dxa"/>
          </w:tcPr>
          <w:p w14:paraId="6F978B4C" w14:textId="50D47C70"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Black Mountain</w:t>
            </w:r>
          </w:p>
        </w:tc>
        <w:tc>
          <w:tcPr>
            <w:tcW w:w="1777" w:type="dxa"/>
          </w:tcPr>
          <w:p w14:paraId="23C7CB49" w14:textId="37438C58"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1%</w:t>
            </w:r>
          </w:p>
        </w:tc>
        <w:tc>
          <w:tcPr>
            <w:tcW w:w="3955" w:type="dxa"/>
          </w:tcPr>
          <w:p w14:paraId="42CE7FEB" w14:textId="03EF6653"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0%</w:t>
            </w:r>
          </w:p>
        </w:tc>
      </w:tr>
      <w:tr w:rsidR="00514D86" w:rsidRPr="00514D86" w14:paraId="79A3C0F6" w14:textId="77777777" w:rsidTr="00514D86">
        <w:tc>
          <w:tcPr>
            <w:tcW w:w="2898" w:type="dxa"/>
          </w:tcPr>
          <w:p w14:paraId="466333E2" w14:textId="03E2A1AB"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Woodfin</w:t>
            </w:r>
          </w:p>
        </w:tc>
        <w:tc>
          <w:tcPr>
            <w:tcW w:w="1777" w:type="dxa"/>
          </w:tcPr>
          <w:p w14:paraId="66CA50D9" w14:textId="36951B42" w:rsidR="00514D86" w:rsidRPr="00514D86" w:rsidRDefault="002F2BC3"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3%</w:t>
            </w:r>
          </w:p>
        </w:tc>
        <w:tc>
          <w:tcPr>
            <w:tcW w:w="3955" w:type="dxa"/>
          </w:tcPr>
          <w:p w14:paraId="7A8C764F" w14:textId="0A335AE6" w:rsidR="00514D86" w:rsidRPr="00514D86" w:rsidRDefault="002F2BC3"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0%</w:t>
            </w:r>
          </w:p>
        </w:tc>
      </w:tr>
      <w:tr w:rsidR="008C6B0C" w:rsidRPr="00514D86" w14:paraId="679928CB" w14:textId="77777777" w:rsidTr="00514D86">
        <w:tc>
          <w:tcPr>
            <w:tcW w:w="2898" w:type="dxa"/>
          </w:tcPr>
          <w:p w14:paraId="34C07356" w14:textId="04103C3F" w:rsidR="008C6B0C" w:rsidRPr="00514D86" w:rsidRDefault="008C6B0C"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Weaverville</w:t>
            </w:r>
          </w:p>
        </w:tc>
        <w:tc>
          <w:tcPr>
            <w:tcW w:w="1777" w:type="dxa"/>
          </w:tcPr>
          <w:p w14:paraId="56157A31" w14:textId="6814837C" w:rsidR="008C6B0C" w:rsidRPr="00514D86" w:rsidRDefault="009574D2"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1.5%</w:t>
            </w:r>
          </w:p>
        </w:tc>
        <w:tc>
          <w:tcPr>
            <w:tcW w:w="3955" w:type="dxa"/>
          </w:tcPr>
          <w:p w14:paraId="10FD7C60" w14:textId="0074A1C9" w:rsidR="008C6B0C" w:rsidRPr="00514D86" w:rsidRDefault="009574D2"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1.5%</w:t>
            </w:r>
          </w:p>
        </w:tc>
      </w:tr>
      <w:tr w:rsidR="00514D86" w:rsidRPr="00514D86" w14:paraId="1E91CC97" w14:textId="77777777" w:rsidTr="00514D86">
        <w:tc>
          <w:tcPr>
            <w:tcW w:w="2898" w:type="dxa"/>
          </w:tcPr>
          <w:p w14:paraId="1A2E9EC5" w14:textId="798AD402" w:rsidR="00514D86" w:rsidRPr="00514D86" w:rsidRDefault="00514D86" w:rsidP="00514D86">
            <w:pPr>
              <w:pStyle w:val="ListParagraph"/>
              <w:ind w:left="0"/>
              <w:rPr>
                <w:rFonts w:eastAsia="Calibri" w:cstheme="minorHAnsi"/>
                <w:color w:val="4472C4" w:themeColor="accent1"/>
                <w:sz w:val="24"/>
                <w:szCs w:val="24"/>
              </w:rPr>
            </w:pPr>
            <w:r w:rsidRPr="00514D86">
              <w:rPr>
                <w:rFonts w:eastAsia="Calibri" w:cstheme="minorHAnsi"/>
                <w:color w:val="4472C4" w:themeColor="accent1"/>
                <w:sz w:val="24"/>
                <w:szCs w:val="24"/>
              </w:rPr>
              <w:t>Asheville</w:t>
            </w:r>
          </w:p>
        </w:tc>
        <w:tc>
          <w:tcPr>
            <w:tcW w:w="1777" w:type="dxa"/>
          </w:tcPr>
          <w:p w14:paraId="098DB9B8" w14:textId="45C4356F" w:rsidR="00514D86" w:rsidRPr="00514D86" w:rsidRDefault="00373A74"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0%</w:t>
            </w:r>
          </w:p>
        </w:tc>
        <w:tc>
          <w:tcPr>
            <w:tcW w:w="3955" w:type="dxa"/>
          </w:tcPr>
          <w:p w14:paraId="1D1A8CA1" w14:textId="5AA528A5" w:rsidR="00514D86" w:rsidRPr="00514D86" w:rsidRDefault="00373A74" w:rsidP="00514D86">
            <w:pPr>
              <w:pStyle w:val="ListParagraph"/>
              <w:ind w:left="0"/>
              <w:rPr>
                <w:rFonts w:eastAsia="Calibri" w:cstheme="minorHAnsi"/>
                <w:color w:val="4472C4" w:themeColor="accent1"/>
                <w:sz w:val="24"/>
                <w:szCs w:val="24"/>
              </w:rPr>
            </w:pPr>
            <w:r>
              <w:rPr>
                <w:rFonts w:eastAsia="Calibri" w:cstheme="minorHAnsi"/>
                <w:color w:val="4472C4" w:themeColor="accent1"/>
                <w:sz w:val="24"/>
                <w:szCs w:val="24"/>
              </w:rPr>
              <w:t>0%</w:t>
            </w:r>
          </w:p>
        </w:tc>
      </w:tr>
      <w:tr w:rsidR="00496B13" w:rsidRPr="00514D86" w14:paraId="2698D0FB" w14:textId="77777777" w:rsidTr="00514D86">
        <w:tc>
          <w:tcPr>
            <w:tcW w:w="2898" w:type="dxa"/>
          </w:tcPr>
          <w:p w14:paraId="03CC871A" w14:textId="5ED45147" w:rsidR="00496B13" w:rsidRPr="00514D86" w:rsidRDefault="00496B13" w:rsidP="00514D86">
            <w:pPr>
              <w:pStyle w:val="ListParagraph"/>
              <w:ind w:left="0"/>
              <w:rPr>
                <w:rFonts w:eastAsia="Calibri" w:cstheme="minorHAnsi"/>
                <w:color w:val="4472C4" w:themeColor="accent1"/>
                <w:sz w:val="24"/>
                <w:szCs w:val="24"/>
              </w:rPr>
            </w:pPr>
          </w:p>
        </w:tc>
        <w:tc>
          <w:tcPr>
            <w:tcW w:w="1777" w:type="dxa"/>
          </w:tcPr>
          <w:p w14:paraId="58679BD4" w14:textId="0BE15707" w:rsidR="00496B13" w:rsidRPr="00514D86" w:rsidRDefault="00496B13" w:rsidP="00514D86">
            <w:pPr>
              <w:pStyle w:val="ListParagraph"/>
              <w:ind w:left="0"/>
              <w:rPr>
                <w:rFonts w:eastAsia="Calibri" w:cstheme="minorHAnsi"/>
                <w:color w:val="4472C4" w:themeColor="accent1"/>
                <w:sz w:val="24"/>
                <w:szCs w:val="24"/>
              </w:rPr>
            </w:pPr>
          </w:p>
        </w:tc>
        <w:tc>
          <w:tcPr>
            <w:tcW w:w="3955" w:type="dxa"/>
          </w:tcPr>
          <w:p w14:paraId="19D1F460" w14:textId="4C4B9D60" w:rsidR="00496B13" w:rsidRPr="00514D86" w:rsidRDefault="00496B13" w:rsidP="00514D86">
            <w:pPr>
              <w:pStyle w:val="ListParagraph"/>
              <w:ind w:left="0"/>
              <w:rPr>
                <w:rFonts w:eastAsia="Calibri" w:cstheme="minorHAnsi"/>
                <w:color w:val="4472C4" w:themeColor="accent1"/>
                <w:sz w:val="24"/>
                <w:szCs w:val="24"/>
              </w:rPr>
            </w:pPr>
          </w:p>
        </w:tc>
      </w:tr>
    </w:tbl>
    <w:p w14:paraId="1336F16C" w14:textId="77777777" w:rsidR="00514D86" w:rsidRPr="00514D86" w:rsidRDefault="00514D86" w:rsidP="00514D86">
      <w:pPr>
        <w:pStyle w:val="ListParagraph"/>
        <w:spacing w:after="0" w:line="240" w:lineRule="auto"/>
        <w:rPr>
          <w:rFonts w:eastAsia="Calibri" w:cstheme="minorHAnsi"/>
          <w:sz w:val="24"/>
          <w:szCs w:val="24"/>
        </w:rPr>
      </w:pPr>
    </w:p>
    <w:p w14:paraId="1C71158F" w14:textId="77777777" w:rsidR="00623DD4" w:rsidRDefault="00623DD4" w:rsidP="00623DD4">
      <w:pPr>
        <w:pStyle w:val="ListParagraph"/>
        <w:spacing w:after="0" w:line="240" w:lineRule="auto"/>
        <w:rPr>
          <w:rFonts w:eastAsia="Calibri" w:cstheme="minorHAnsi"/>
          <w:sz w:val="24"/>
          <w:szCs w:val="24"/>
        </w:rPr>
      </w:pPr>
    </w:p>
    <w:p w14:paraId="0920FDA5" w14:textId="70B0A5B5"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What are the professional services? Do we need this much?</w:t>
      </w:r>
    </w:p>
    <w:p w14:paraId="0842ACC4" w14:textId="49568AC7" w:rsidR="00623DD4" w:rsidRPr="00DF37F6" w:rsidRDefault="00DF37F6"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“Professional Services” include legal fees, auditor fees, surveyors, engineers, and architects. </w:t>
      </w:r>
    </w:p>
    <w:p w14:paraId="4398620D" w14:textId="77777777" w:rsidR="00623DD4" w:rsidRDefault="00623DD4" w:rsidP="00623DD4">
      <w:pPr>
        <w:pStyle w:val="ListParagraph"/>
        <w:spacing w:after="0" w:line="240" w:lineRule="auto"/>
        <w:rPr>
          <w:rFonts w:eastAsia="Calibri" w:cstheme="minorHAnsi"/>
          <w:sz w:val="24"/>
          <w:szCs w:val="24"/>
        </w:rPr>
      </w:pPr>
    </w:p>
    <w:p w14:paraId="50AF3836" w14:textId="77777777" w:rsidR="001867A5" w:rsidRPr="001867A5" w:rsidRDefault="00296DB5" w:rsidP="00871CA7">
      <w:pPr>
        <w:pStyle w:val="ListParagraph"/>
        <w:numPr>
          <w:ilvl w:val="0"/>
          <w:numId w:val="1"/>
        </w:numPr>
        <w:spacing w:after="0" w:line="240" w:lineRule="auto"/>
        <w:rPr>
          <w:rFonts w:eastAsia="Calibri" w:cstheme="minorHAnsi"/>
          <w:color w:val="4472C4" w:themeColor="accent1"/>
          <w:sz w:val="24"/>
          <w:szCs w:val="24"/>
        </w:rPr>
      </w:pPr>
      <w:r w:rsidRPr="001867A5">
        <w:rPr>
          <w:rFonts w:eastAsia="Calibri" w:cstheme="minorHAnsi"/>
          <w:sz w:val="24"/>
          <w:szCs w:val="24"/>
        </w:rPr>
        <w:t>Why did capital outlay increase?</w:t>
      </w:r>
      <w:r w:rsidR="001867A5" w:rsidRPr="001867A5">
        <w:rPr>
          <w:rFonts w:eastAsia="Calibri" w:cstheme="minorHAnsi"/>
          <w:sz w:val="24"/>
          <w:szCs w:val="24"/>
        </w:rPr>
        <w:t xml:space="preserve"> </w:t>
      </w:r>
    </w:p>
    <w:p w14:paraId="3D60ED8B" w14:textId="450AF6EA" w:rsidR="00DF37F6" w:rsidRPr="001867A5" w:rsidRDefault="00DF37F6" w:rsidP="001867A5">
      <w:pPr>
        <w:pStyle w:val="ListParagraph"/>
        <w:spacing w:after="0" w:line="240" w:lineRule="auto"/>
        <w:rPr>
          <w:rFonts w:eastAsia="Calibri" w:cstheme="minorHAnsi"/>
          <w:color w:val="4472C4" w:themeColor="accent1"/>
          <w:sz w:val="24"/>
          <w:szCs w:val="24"/>
        </w:rPr>
      </w:pPr>
      <w:r w:rsidRPr="001867A5">
        <w:rPr>
          <w:rFonts w:eastAsia="Calibri" w:cstheme="minorHAnsi"/>
          <w:color w:val="4472C4" w:themeColor="accent1"/>
          <w:sz w:val="24"/>
          <w:szCs w:val="24"/>
        </w:rPr>
        <w:t xml:space="preserve">“Capital Outlay” includes large purchases or projects planned for in the Capital Improvement process, usually exceeding $5,000 in value and tangibly lasting at least 1 year. The Administrator Recommended budget included capital outlay for furniture, and finance and water billing software. However, the Commission decided to defer the municipal and finance software from this year’s budget.  </w:t>
      </w:r>
    </w:p>
    <w:p w14:paraId="2585C155" w14:textId="77777777" w:rsidR="00623DD4" w:rsidRDefault="00623DD4" w:rsidP="00623DD4">
      <w:pPr>
        <w:pStyle w:val="ListParagraph"/>
        <w:spacing w:after="0" w:line="240" w:lineRule="auto"/>
        <w:rPr>
          <w:rFonts w:eastAsia="Calibri" w:cstheme="minorHAnsi"/>
          <w:sz w:val="24"/>
          <w:szCs w:val="24"/>
        </w:rPr>
      </w:pPr>
    </w:p>
    <w:p w14:paraId="507EA26D" w14:textId="20915B4E" w:rsidR="00296DB5" w:rsidRDefault="00296DB5" w:rsidP="00623DD4">
      <w:pPr>
        <w:pStyle w:val="ListParagraph"/>
        <w:numPr>
          <w:ilvl w:val="0"/>
          <w:numId w:val="1"/>
        </w:numPr>
        <w:spacing w:after="0" w:line="240" w:lineRule="auto"/>
        <w:rPr>
          <w:rFonts w:eastAsia="Calibri" w:cstheme="minorHAnsi"/>
          <w:sz w:val="24"/>
          <w:szCs w:val="24"/>
        </w:rPr>
      </w:pPr>
      <w:r w:rsidRPr="00623DD4">
        <w:rPr>
          <w:rFonts w:eastAsia="Calibri" w:cstheme="minorHAnsi"/>
          <w:sz w:val="24"/>
          <w:szCs w:val="24"/>
        </w:rPr>
        <w:t>Why are the salaries and wages increasing?</w:t>
      </w:r>
    </w:p>
    <w:p w14:paraId="036882B3" w14:textId="779B02C9" w:rsidR="00534DDF" w:rsidRPr="00534DDF" w:rsidRDefault="00534DDF" w:rsidP="00534DDF">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No cost of living adjustments (COLAs) or merit increases are included in this year’s budget. However, a few employees have yet to complete their first year of employment. This means that not only do we have to include a full year’s salary in this year’s budget fort those positions, but we also </w:t>
      </w:r>
      <w:proofErr w:type="gramStart"/>
      <w:r>
        <w:rPr>
          <w:rFonts w:eastAsia="Calibri" w:cstheme="minorHAnsi"/>
          <w:color w:val="4472C4" w:themeColor="accent1"/>
          <w:sz w:val="24"/>
          <w:szCs w:val="24"/>
        </w:rPr>
        <w:t>have to</w:t>
      </w:r>
      <w:proofErr w:type="gramEnd"/>
      <w:r>
        <w:rPr>
          <w:rFonts w:eastAsia="Calibri" w:cstheme="minorHAnsi"/>
          <w:color w:val="4472C4" w:themeColor="accent1"/>
          <w:sz w:val="24"/>
          <w:szCs w:val="24"/>
        </w:rPr>
        <w:t xml:space="preserve"> fund the obligated probationary increases for those positions.</w:t>
      </w:r>
    </w:p>
    <w:p w14:paraId="7319F872" w14:textId="77777777" w:rsidR="00623DD4" w:rsidRDefault="00623DD4" w:rsidP="00623DD4">
      <w:pPr>
        <w:pStyle w:val="ListParagraph"/>
        <w:spacing w:after="0" w:line="240" w:lineRule="auto"/>
        <w:rPr>
          <w:rFonts w:eastAsia="Calibri" w:cstheme="minorHAnsi"/>
          <w:sz w:val="24"/>
          <w:szCs w:val="24"/>
        </w:rPr>
      </w:pPr>
    </w:p>
    <w:p w14:paraId="5C48165D" w14:textId="1756AC3A"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 xml:space="preserve">Why do we have one of the highest retirement packages of any group of workers in </w:t>
      </w:r>
    </w:p>
    <w:p w14:paraId="3B6F28DC" w14:textId="11C03CB0" w:rsidR="00496B13" w:rsidRDefault="00296DB5" w:rsidP="00496B13">
      <w:pPr>
        <w:pStyle w:val="ListParagraph"/>
        <w:numPr>
          <w:ilvl w:val="1"/>
          <w:numId w:val="1"/>
        </w:numPr>
        <w:spacing w:after="0" w:line="240" w:lineRule="auto"/>
        <w:rPr>
          <w:rFonts w:eastAsia="Calibri" w:cstheme="minorHAnsi"/>
          <w:sz w:val="24"/>
          <w:szCs w:val="24"/>
        </w:rPr>
      </w:pPr>
      <w:r w:rsidRPr="00DD09BB">
        <w:rPr>
          <w:rFonts w:eastAsia="Calibri" w:cstheme="minorHAnsi"/>
          <w:sz w:val="24"/>
          <w:szCs w:val="24"/>
        </w:rPr>
        <w:t>Buncombe county?</w:t>
      </w:r>
    </w:p>
    <w:p w14:paraId="793DABC9" w14:textId="52F5876A" w:rsidR="009D4CE4" w:rsidRDefault="00496B13" w:rsidP="009D4CE4">
      <w:pPr>
        <w:spacing w:after="0" w:line="240" w:lineRule="auto"/>
        <w:ind w:left="720"/>
        <w:rPr>
          <w:rFonts w:eastAsia="Calibri" w:cstheme="minorHAnsi"/>
          <w:color w:val="4472C4" w:themeColor="accent1"/>
          <w:sz w:val="24"/>
          <w:szCs w:val="24"/>
        </w:rPr>
      </w:pPr>
      <w:r>
        <w:rPr>
          <w:rFonts w:eastAsia="Calibri" w:cstheme="minorHAnsi"/>
          <w:color w:val="4472C4" w:themeColor="accent1"/>
          <w:sz w:val="24"/>
          <w:szCs w:val="24"/>
        </w:rPr>
        <w:lastRenderedPageBreak/>
        <w:t>Municipalities in NC are required to participate in the Local Government Employees Retirement System (LGERS.) It is industry standard to also offer 401K contributions.</w:t>
      </w:r>
      <w:r w:rsidR="009D4CE4">
        <w:rPr>
          <w:rFonts w:eastAsia="Calibri" w:cstheme="minorHAnsi"/>
          <w:color w:val="4472C4" w:themeColor="accent1"/>
          <w:sz w:val="24"/>
          <w:szCs w:val="24"/>
        </w:rPr>
        <w:t xml:space="preserve"> T</w:t>
      </w:r>
      <w:r w:rsidR="00657F96">
        <w:rPr>
          <w:rFonts w:eastAsia="Calibri" w:cstheme="minorHAnsi"/>
          <w:color w:val="4472C4" w:themeColor="accent1"/>
          <w:sz w:val="24"/>
          <w:szCs w:val="24"/>
        </w:rPr>
        <w:t>h</w:t>
      </w:r>
      <w:r w:rsidR="009D4CE4">
        <w:rPr>
          <w:rFonts w:eastAsia="Calibri" w:cstheme="minorHAnsi"/>
          <w:color w:val="4472C4" w:themeColor="accent1"/>
          <w:sz w:val="24"/>
          <w:szCs w:val="24"/>
        </w:rPr>
        <w:t>e following table lists the 401k matches of area local governments:</w:t>
      </w:r>
    </w:p>
    <w:p w14:paraId="6608C571" w14:textId="798B7E3A" w:rsidR="009D4CE4" w:rsidRDefault="009D4CE4" w:rsidP="009D4CE4">
      <w:pPr>
        <w:spacing w:after="0" w:line="240" w:lineRule="auto"/>
        <w:ind w:left="720"/>
        <w:rPr>
          <w:rFonts w:eastAsia="Calibri" w:cstheme="minorHAnsi"/>
          <w:color w:val="4472C4" w:themeColor="accent1"/>
          <w:sz w:val="24"/>
          <w:szCs w:val="24"/>
        </w:rPr>
      </w:pPr>
    </w:p>
    <w:tbl>
      <w:tblPr>
        <w:tblStyle w:val="TableGrid"/>
        <w:tblW w:w="0" w:type="auto"/>
        <w:tblInd w:w="720" w:type="dxa"/>
        <w:tblLook w:val="04A0" w:firstRow="1" w:lastRow="0" w:firstColumn="1" w:lastColumn="0" w:noHBand="0" w:noVBand="1"/>
      </w:tblPr>
      <w:tblGrid>
        <w:gridCol w:w="4348"/>
        <w:gridCol w:w="4282"/>
      </w:tblGrid>
      <w:tr w:rsidR="009D4CE4" w14:paraId="7E55040D" w14:textId="77777777" w:rsidTr="009D4CE4">
        <w:tc>
          <w:tcPr>
            <w:tcW w:w="4675" w:type="dxa"/>
          </w:tcPr>
          <w:p w14:paraId="5E9776F6" w14:textId="6ADC86EE"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Montreat</w:t>
            </w:r>
          </w:p>
        </w:tc>
        <w:tc>
          <w:tcPr>
            <w:tcW w:w="4675" w:type="dxa"/>
          </w:tcPr>
          <w:p w14:paraId="73BB9521" w14:textId="569984B8"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5%</w:t>
            </w:r>
          </w:p>
        </w:tc>
      </w:tr>
      <w:tr w:rsidR="009D4CE4" w14:paraId="3649E45C" w14:textId="77777777" w:rsidTr="009D4CE4">
        <w:tc>
          <w:tcPr>
            <w:tcW w:w="4675" w:type="dxa"/>
          </w:tcPr>
          <w:p w14:paraId="1E896AAC" w14:textId="090DAD24"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Biltmore Forest</w:t>
            </w:r>
          </w:p>
        </w:tc>
        <w:tc>
          <w:tcPr>
            <w:tcW w:w="4675" w:type="dxa"/>
          </w:tcPr>
          <w:p w14:paraId="18CE1D61" w14:textId="68250178"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5%</w:t>
            </w:r>
          </w:p>
        </w:tc>
      </w:tr>
      <w:tr w:rsidR="009D4CE4" w14:paraId="56D6331B" w14:textId="77777777" w:rsidTr="009D4CE4">
        <w:tc>
          <w:tcPr>
            <w:tcW w:w="4675" w:type="dxa"/>
          </w:tcPr>
          <w:p w14:paraId="4BCA7A42" w14:textId="74D89338"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 xml:space="preserve">Black </w:t>
            </w:r>
            <w:r w:rsidR="000E262E">
              <w:rPr>
                <w:rFonts w:eastAsia="Calibri" w:cstheme="minorHAnsi"/>
                <w:color w:val="4472C4" w:themeColor="accent1"/>
                <w:sz w:val="24"/>
                <w:szCs w:val="24"/>
              </w:rPr>
              <w:t>Mountain</w:t>
            </w:r>
          </w:p>
        </w:tc>
        <w:tc>
          <w:tcPr>
            <w:tcW w:w="4675" w:type="dxa"/>
          </w:tcPr>
          <w:p w14:paraId="31C111D7" w14:textId="17A7284B"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5%</w:t>
            </w:r>
          </w:p>
        </w:tc>
      </w:tr>
      <w:tr w:rsidR="009D4CE4" w14:paraId="19E6065E" w14:textId="77777777" w:rsidTr="009D4CE4">
        <w:tc>
          <w:tcPr>
            <w:tcW w:w="4675" w:type="dxa"/>
          </w:tcPr>
          <w:p w14:paraId="72737004" w14:textId="1C3B432C"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Woodfin</w:t>
            </w:r>
          </w:p>
        </w:tc>
        <w:tc>
          <w:tcPr>
            <w:tcW w:w="4675" w:type="dxa"/>
          </w:tcPr>
          <w:p w14:paraId="519D4828" w14:textId="389B6C1A" w:rsidR="009D4CE4" w:rsidRDefault="002F2BC3" w:rsidP="009D4CE4">
            <w:pPr>
              <w:rPr>
                <w:rFonts w:eastAsia="Calibri" w:cstheme="minorHAnsi"/>
                <w:color w:val="4472C4" w:themeColor="accent1"/>
                <w:sz w:val="24"/>
                <w:szCs w:val="24"/>
              </w:rPr>
            </w:pPr>
            <w:r>
              <w:rPr>
                <w:rFonts w:eastAsia="Calibri" w:cstheme="minorHAnsi"/>
                <w:color w:val="4472C4" w:themeColor="accent1"/>
                <w:sz w:val="24"/>
                <w:szCs w:val="24"/>
              </w:rPr>
              <w:t>8%</w:t>
            </w:r>
          </w:p>
        </w:tc>
      </w:tr>
      <w:tr w:rsidR="009D4CE4" w14:paraId="521B85AD" w14:textId="77777777" w:rsidTr="009D4CE4">
        <w:tc>
          <w:tcPr>
            <w:tcW w:w="4675" w:type="dxa"/>
          </w:tcPr>
          <w:p w14:paraId="288F03D7" w14:textId="6E2CC309"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Weaverville</w:t>
            </w:r>
          </w:p>
        </w:tc>
        <w:tc>
          <w:tcPr>
            <w:tcW w:w="4675" w:type="dxa"/>
          </w:tcPr>
          <w:p w14:paraId="119311B8" w14:textId="062B55BC" w:rsidR="009D4CE4" w:rsidRDefault="009574D2" w:rsidP="009D4CE4">
            <w:pPr>
              <w:rPr>
                <w:rFonts w:eastAsia="Calibri" w:cstheme="minorHAnsi"/>
                <w:color w:val="4472C4" w:themeColor="accent1"/>
                <w:sz w:val="24"/>
                <w:szCs w:val="24"/>
              </w:rPr>
            </w:pPr>
            <w:r>
              <w:rPr>
                <w:rFonts w:eastAsia="Calibri" w:cstheme="minorHAnsi"/>
                <w:color w:val="4472C4" w:themeColor="accent1"/>
                <w:sz w:val="24"/>
                <w:szCs w:val="24"/>
              </w:rPr>
              <w:t>6.5%</w:t>
            </w:r>
          </w:p>
        </w:tc>
      </w:tr>
      <w:tr w:rsidR="009D4CE4" w14:paraId="6F6D4DE0" w14:textId="77777777" w:rsidTr="009D4CE4">
        <w:tc>
          <w:tcPr>
            <w:tcW w:w="4675" w:type="dxa"/>
          </w:tcPr>
          <w:p w14:paraId="04E422C8" w14:textId="7D0AA3CC"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Asheville</w:t>
            </w:r>
          </w:p>
        </w:tc>
        <w:tc>
          <w:tcPr>
            <w:tcW w:w="4675" w:type="dxa"/>
          </w:tcPr>
          <w:p w14:paraId="3F16F978" w14:textId="60441A5C" w:rsidR="009D4CE4" w:rsidRDefault="004B6F40" w:rsidP="009D4CE4">
            <w:pPr>
              <w:rPr>
                <w:rFonts w:eastAsia="Calibri" w:cstheme="minorHAnsi"/>
                <w:color w:val="4472C4" w:themeColor="accent1"/>
                <w:sz w:val="24"/>
                <w:szCs w:val="24"/>
              </w:rPr>
            </w:pPr>
            <w:r>
              <w:rPr>
                <w:rFonts w:eastAsia="Calibri" w:cstheme="minorHAnsi"/>
                <w:color w:val="4472C4" w:themeColor="accent1"/>
                <w:sz w:val="24"/>
                <w:szCs w:val="24"/>
              </w:rPr>
              <w:t>5%</w:t>
            </w:r>
          </w:p>
        </w:tc>
      </w:tr>
      <w:tr w:rsidR="009D4CE4" w14:paraId="3E90B34F" w14:textId="77777777" w:rsidTr="009D4CE4">
        <w:tc>
          <w:tcPr>
            <w:tcW w:w="4675" w:type="dxa"/>
          </w:tcPr>
          <w:p w14:paraId="44E8EE4E" w14:textId="67408030" w:rsidR="009D4CE4" w:rsidRDefault="009D4CE4" w:rsidP="009D4CE4">
            <w:pPr>
              <w:rPr>
                <w:rFonts w:eastAsia="Calibri" w:cstheme="minorHAnsi"/>
                <w:color w:val="4472C4" w:themeColor="accent1"/>
                <w:sz w:val="24"/>
                <w:szCs w:val="24"/>
              </w:rPr>
            </w:pPr>
            <w:r>
              <w:rPr>
                <w:rFonts w:eastAsia="Calibri" w:cstheme="minorHAnsi"/>
                <w:color w:val="4472C4" w:themeColor="accent1"/>
                <w:sz w:val="24"/>
                <w:szCs w:val="24"/>
              </w:rPr>
              <w:t>Buncombe County</w:t>
            </w:r>
          </w:p>
        </w:tc>
        <w:tc>
          <w:tcPr>
            <w:tcW w:w="4675" w:type="dxa"/>
          </w:tcPr>
          <w:p w14:paraId="370B10CF" w14:textId="30459289" w:rsidR="009D4CE4" w:rsidRDefault="008100FC" w:rsidP="009D4CE4">
            <w:pPr>
              <w:rPr>
                <w:rFonts w:eastAsia="Calibri" w:cstheme="minorHAnsi"/>
                <w:color w:val="4472C4" w:themeColor="accent1"/>
                <w:sz w:val="24"/>
                <w:szCs w:val="24"/>
              </w:rPr>
            </w:pPr>
            <w:r>
              <w:rPr>
                <w:rFonts w:eastAsia="Calibri" w:cstheme="minorHAnsi"/>
                <w:color w:val="4472C4" w:themeColor="accent1"/>
                <w:sz w:val="24"/>
                <w:szCs w:val="24"/>
              </w:rPr>
              <w:t>8%</w:t>
            </w:r>
          </w:p>
        </w:tc>
      </w:tr>
    </w:tbl>
    <w:p w14:paraId="777672C6" w14:textId="77777777" w:rsidR="009D4CE4" w:rsidRPr="00496B13" w:rsidRDefault="009D4CE4" w:rsidP="009D4CE4">
      <w:pPr>
        <w:spacing w:after="0" w:line="240" w:lineRule="auto"/>
        <w:ind w:left="720"/>
        <w:rPr>
          <w:rFonts w:eastAsia="Calibri" w:cstheme="minorHAnsi"/>
          <w:color w:val="4472C4" w:themeColor="accent1"/>
          <w:sz w:val="24"/>
          <w:szCs w:val="24"/>
        </w:rPr>
      </w:pPr>
    </w:p>
    <w:p w14:paraId="7E1F29FD" w14:textId="77777777" w:rsidR="00623DD4" w:rsidRDefault="00623DD4" w:rsidP="00623DD4">
      <w:pPr>
        <w:pStyle w:val="ListParagraph"/>
        <w:spacing w:after="0" w:line="240" w:lineRule="auto"/>
        <w:rPr>
          <w:rFonts w:eastAsia="Calibri" w:cstheme="minorHAnsi"/>
          <w:sz w:val="24"/>
          <w:szCs w:val="24"/>
        </w:rPr>
      </w:pPr>
    </w:p>
    <w:p w14:paraId="042E3B12" w14:textId="114BDD3D" w:rsidR="00296DB5"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Why did postage increase almost 5 times? Is this ongoing?</w:t>
      </w:r>
    </w:p>
    <w:p w14:paraId="26732057" w14:textId="7FF42EA8" w:rsidR="0090032A" w:rsidRPr="0090032A" w:rsidRDefault="0090032A" w:rsidP="0090032A">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Postage, decreased by 3% in the Administration Department, increased by 6.67% in the Police Department (representing $1),</w:t>
      </w:r>
      <w:r w:rsidRPr="0090032A">
        <w:rPr>
          <w:rFonts w:eastAsia="Calibri" w:cstheme="minorHAnsi"/>
          <w:color w:val="4472C4" w:themeColor="accent1"/>
          <w:sz w:val="24"/>
          <w:szCs w:val="24"/>
        </w:rPr>
        <w:t xml:space="preserve"> </w:t>
      </w:r>
      <w:r>
        <w:rPr>
          <w:rFonts w:eastAsia="Calibri" w:cstheme="minorHAnsi"/>
          <w:color w:val="4472C4" w:themeColor="accent1"/>
          <w:sz w:val="24"/>
          <w:szCs w:val="24"/>
        </w:rPr>
        <w:t xml:space="preserve">and </w:t>
      </w:r>
      <w:r>
        <w:rPr>
          <w:rFonts w:eastAsia="Calibri" w:cstheme="minorHAnsi"/>
          <w:color w:val="4472C4" w:themeColor="accent1"/>
          <w:sz w:val="24"/>
          <w:szCs w:val="24"/>
        </w:rPr>
        <w:t>decreased by 4% in the Water Department</w:t>
      </w:r>
      <w:r>
        <w:rPr>
          <w:rFonts w:eastAsia="Calibri" w:cstheme="minorHAnsi"/>
          <w:color w:val="4472C4" w:themeColor="accent1"/>
          <w:sz w:val="24"/>
          <w:szCs w:val="24"/>
        </w:rPr>
        <w:t>.</w:t>
      </w:r>
    </w:p>
    <w:p w14:paraId="0E03FE90" w14:textId="298A3C3A" w:rsidR="00623DD4" w:rsidRDefault="00623DD4" w:rsidP="001867A5">
      <w:pPr>
        <w:spacing w:after="0" w:line="240" w:lineRule="auto"/>
        <w:rPr>
          <w:rFonts w:eastAsia="Calibri" w:cstheme="minorHAnsi"/>
          <w:sz w:val="24"/>
          <w:szCs w:val="24"/>
        </w:rPr>
      </w:pPr>
    </w:p>
    <w:p w14:paraId="373542AE" w14:textId="77777777" w:rsidR="0090032A" w:rsidRPr="001867A5" w:rsidRDefault="0090032A" w:rsidP="001867A5">
      <w:pPr>
        <w:spacing w:after="0" w:line="240" w:lineRule="auto"/>
        <w:rPr>
          <w:rFonts w:eastAsia="Calibri" w:cstheme="minorHAnsi"/>
          <w:sz w:val="24"/>
          <w:szCs w:val="24"/>
        </w:rPr>
      </w:pPr>
    </w:p>
    <w:p w14:paraId="36B02BAA" w14:textId="531955F8"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Why was this the person moved to the water department?</w:t>
      </w:r>
    </w:p>
    <w:p w14:paraId="024A3623" w14:textId="141F62C6" w:rsidR="00623DD4" w:rsidRDefault="001867A5" w:rsidP="00623DD4">
      <w:pPr>
        <w:pStyle w:val="ListParagraph"/>
        <w:spacing w:after="0" w:line="240" w:lineRule="auto"/>
        <w:rPr>
          <w:rFonts w:eastAsia="Calibri" w:cstheme="minorHAnsi"/>
          <w:color w:val="4472C4" w:themeColor="accent1"/>
          <w:sz w:val="24"/>
          <w:szCs w:val="24"/>
        </w:rPr>
      </w:pPr>
      <w:r>
        <w:rPr>
          <w:rFonts w:eastAsia="Calibri" w:cstheme="minorHAnsi"/>
          <w:color w:val="4472C4" w:themeColor="accent1"/>
          <w:sz w:val="24"/>
          <w:szCs w:val="24"/>
        </w:rPr>
        <w:t xml:space="preserve">We have one employee predominately dedicated to water services. All employees in the Public Works Department assist with any projects that require more manpower. In the past we have split the salary for the one position between Public Works and Water, but that did not reflect the reality o the function. This year we moved the entire salary to Water to clean up payroll accounting. </w:t>
      </w:r>
    </w:p>
    <w:p w14:paraId="39AF74F5" w14:textId="77777777" w:rsidR="001867A5" w:rsidRPr="001867A5" w:rsidRDefault="001867A5" w:rsidP="00623DD4">
      <w:pPr>
        <w:pStyle w:val="ListParagraph"/>
        <w:spacing w:after="0" w:line="240" w:lineRule="auto"/>
        <w:rPr>
          <w:rFonts w:eastAsia="Calibri" w:cstheme="minorHAnsi"/>
          <w:color w:val="4472C4" w:themeColor="accent1"/>
          <w:sz w:val="24"/>
          <w:szCs w:val="24"/>
        </w:rPr>
      </w:pPr>
    </w:p>
    <w:p w14:paraId="1F87F359" w14:textId="4A498A44" w:rsidR="00296DB5" w:rsidRPr="00DD09BB" w:rsidRDefault="00296DB5" w:rsidP="00DD09BB">
      <w:pPr>
        <w:pStyle w:val="ListParagraph"/>
        <w:numPr>
          <w:ilvl w:val="0"/>
          <w:numId w:val="1"/>
        </w:numPr>
        <w:spacing w:after="0" w:line="240" w:lineRule="auto"/>
        <w:rPr>
          <w:rFonts w:eastAsia="Calibri" w:cstheme="minorHAnsi"/>
          <w:sz w:val="24"/>
          <w:szCs w:val="24"/>
        </w:rPr>
      </w:pPr>
      <w:r w:rsidRPr="00DD09BB">
        <w:rPr>
          <w:rFonts w:eastAsia="Calibri" w:cstheme="minorHAnsi"/>
          <w:sz w:val="24"/>
          <w:szCs w:val="24"/>
        </w:rPr>
        <w:t xml:space="preserve">Why has the auto supplies </w:t>
      </w:r>
      <w:proofErr w:type="gramStart"/>
      <w:r w:rsidRPr="00DD09BB">
        <w:rPr>
          <w:rFonts w:eastAsia="Calibri" w:cstheme="minorHAnsi"/>
          <w:sz w:val="24"/>
          <w:szCs w:val="24"/>
        </w:rPr>
        <w:t>increased 536%</w:t>
      </w:r>
      <w:proofErr w:type="gramEnd"/>
    </w:p>
    <w:p w14:paraId="3297D0E0" w14:textId="5FF0779D" w:rsidR="00296DB5" w:rsidRPr="005856D0" w:rsidRDefault="005856D0" w:rsidP="005856D0">
      <w:pPr>
        <w:ind w:left="720"/>
        <w:rPr>
          <w:rFonts w:cstheme="minorHAnsi"/>
          <w:color w:val="4472C4" w:themeColor="accent1"/>
        </w:rPr>
      </w:pPr>
      <w:r w:rsidRPr="005856D0">
        <w:rPr>
          <w:rFonts w:cstheme="minorHAnsi"/>
          <w:color w:val="4472C4" w:themeColor="accent1"/>
        </w:rPr>
        <w:t>Auto Supplies</w:t>
      </w:r>
      <w:r>
        <w:rPr>
          <w:rFonts w:cstheme="minorHAnsi"/>
          <w:color w:val="4472C4" w:themeColor="accent1"/>
        </w:rPr>
        <w:t xml:space="preserve"> include gas, oil, and tires</w:t>
      </w:r>
      <w:r w:rsidR="00E276CF">
        <w:rPr>
          <w:rFonts w:cstheme="minorHAnsi"/>
          <w:color w:val="4472C4" w:themeColor="accent1"/>
        </w:rPr>
        <w:t xml:space="preserve"> for two vehicles - as well as safety inspections and boom repairs for the bucket truck. </w:t>
      </w:r>
      <w:r>
        <w:rPr>
          <w:rFonts w:cstheme="minorHAnsi"/>
          <w:color w:val="4472C4" w:themeColor="accent1"/>
        </w:rPr>
        <w:t xml:space="preserve"> </w:t>
      </w:r>
      <w:r w:rsidR="00E276CF">
        <w:rPr>
          <w:rFonts w:cstheme="minorHAnsi"/>
          <w:color w:val="4472C4" w:themeColor="accent1"/>
        </w:rPr>
        <w:t>Also, i</w:t>
      </w:r>
      <w:r>
        <w:rPr>
          <w:rFonts w:cstheme="minorHAnsi"/>
          <w:color w:val="4472C4" w:themeColor="accent1"/>
        </w:rPr>
        <w:t>n FY 19-20 the Public Works Department purchased a new truck, minimizing maintenance costs</w:t>
      </w:r>
      <w:r w:rsidR="00E276CF">
        <w:rPr>
          <w:rFonts w:cstheme="minorHAnsi"/>
          <w:color w:val="4472C4" w:themeColor="accent1"/>
        </w:rPr>
        <w:t xml:space="preserve"> for that year</w:t>
      </w:r>
      <w:r>
        <w:rPr>
          <w:rFonts w:cstheme="minorHAnsi"/>
          <w:color w:val="4472C4" w:themeColor="accent1"/>
        </w:rPr>
        <w:t xml:space="preserve">. </w:t>
      </w:r>
    </w:p>
    <w:p w14:paraId="2ECAB86F" w14:textId="77777777" w:rsidR="005856D0" w:rsidRPr="00296DB5" w:rsidRDefault="005856D0" w:rsidP="005856D0">
      <w:pPr>
        <w:ind w:left="720"/>
        <w:rPr>
          <w:rFonts w:cstheme="minorHAnsi"/>
        </w:rPr>
      </w:pPr>
    </w:p>
    <w:p w14:paraId="20FD219C" w14:textId="77777777" w:rsidR="00DC6385" w:rsidRPr="00DC6385" w:rsidRDefault="00296DB5" w:rsidP="00DC6385">
      <w:pPr>
        <w:pStyle w:val="ListParagraph"/>
        <w:numPr>
          <w:ilvl w:val="0"/>
          <w:numId w:val="1"/>
        </w:numPr>
      </w:pPr>
      <w:r w:rsidRPr="00DD09BB">
        <w:rPr>
          <w:rFonts w:eastAsia="Times New Roman" w:cstheme="minorHAnsi"/>
        </w:rPr>
        <w:t>As the updated Budget was sent only hours before the meeting, it would have been helpful for changes made to have been highlighted in red, or a cover letter stating the changes.</w:t>
      </w:r>
      <w:r w:rsidR="00DC6385">
        <w:rPr>
          <w:rFonts w:eastAsia="Times New Roman" w:cstheme="minorHAnsi"/>
        </w:rPr>
        <w:t xml:space="preserve"> </w:t>
      </w:r>
    </w:p>
    <w:p w14:paraId="29FF3437" w14:textId="77777777" w:rsidR="00DC6385" w:rsidRPr="00DC6385" w:rsidRDefault="00DC6385" w:rsidP="00DC6385">
      <w:pPr>
        <w:pStyle w:val="ListParagraph"/>
        <w:rPr>
          <w:rFonts w:eastAsia="Times New Roman" w:cstheme="minorHAnsi"/>
        </w:rPr>
      </w:pPr>
    </w:p>
    <w:p w14:paraId="387E4DD3" w14:textId="096503AC" w:rsidR="00DC6385" w:rsidRPr="00DD09BB" w:rsidRDefault="00DC6385" w:rsidP="00DC6385">
      <w:pPr>
        <w:pStyle w:val="ListParagraph"/>
      </w:pPr>
      <w:r w:rsidRPr="00DC6385">
        <w:rPr>
          <w:rFonts w:eastAsia="Times New Roman" w:cstheme="minorHAnsi"/>
          <w:color w:val="4472C4" w:themeColor="accent1"/>
        </w:rPr>
        <w:t>This suggestion has been noted and included in the latest version of the budget.</w:t>
      </w:r>
    </w:p>
    <w:p w14:paraId="43C7C881" w14:textId="740B919D" w:rsidR="00DD09BB" w:rsidRDefault="00DD09BB" w:rsidP="00DD09BB">
      <w:pPr>
        <w:pStyle w:val="ListParagraph"/>
        <w:rPr>
          <w:rFonts w:eastAsia="Times New Roman" w:cstheme="minorHAnsi"/>
        </w:rPr>
      </w:pPr>
    </w:p>
    <w:p w14:paraId="7ADE1704" w14:textId="77777777" w:rsidR="00623DD4" w:rsidRPr="00DD09BB" w:rsidRDefault="00623DD4" w:rsidP="00DD09BB">
      <w:pPr>
        <w:pStyle w:val="ListParagraph"/>
        <w:rPr>
          <w:rFonts w:eastAsia="Times New Roman" w:cstheme="minorHAnsi"/>
        </w:rPr>
      </w:pPr>
    </w:p>
    <w:p w14:paraId="56B14D12" w14:textId="77777777" w:rsidR="00DD09BB" w:rsidRPr="00DD09BB" w:rsidRDefault="00296DB5" w:rsidP="00DD09BB">
      <w:pPr>
        <w:pStyle w:val="ListParagraph"/>
        <w:numPr>
          <w:ilvl w:val="0"/>
          <w:numId w:val="1"/>
        </w:numPr>
      </w:pPr>
      <w:r w:rsidRPr="00DD09BB">
        <w:rPr>
          <w:rFonts w:eastAsia="Times New Roman" w:cstheme="minorHAnsi"/>
        </w:rPr>
        <w:t>Please, Detail changes made from the first proposal.</w:t>
      </w:r>
    </w:p>
    <w:p w14:paraId="6AE68CCB" w14:textId="007867A7" w:rsidR="00DD09BB" w:rsidRPr="00C64C13" w:rsidRDefault="00C64C13" w:rsidP="00DD09BB">
      <w:pPr>
        <w:pStyle w:val="ListParagraph"/>
        <w:rPr>
          <w:rFonts w:eastAsia="Times New Roman" w:cstheme="minorHAnsi"/>
          <w:color w:val="4472C4" w:themeColor="accent1"/>
        </w:rPr>
      </w:pPr>
      <w:r>
        <w:rPr>
          <w:rFonts w:eastAsia="Times New Roman" w:cstheme="minorHAnsi"/>
          <w:color w:val="4472C4" w:themeColor="accent1"/>
        </w:rPr>
        <w:t xml:space="preserve">Changes between the Administrator’s recommended budget and the Commission’s workshop have been highlighted in yellow. </w:t>
      </w:r>
    </w:p>
    <w:p w14:paraId="098CC0C9" w14:textId="77777777" w:rsidR="00623DD4" w:rsidRPr="00DD09BB" w:rsidRDefault="00623DD4" w:rsidP="00DD09BB">
      <w:pPr>
        <w:pStyle w:val="ListParagraph"/>
        <w:rPr>
          <w:rFonts w:eastAsia="Times New Roman" w:cstheme="minorHAnsi"/>
        </w:rPr>
      </w:pPr>
    </w:p>
    <w:p w14:paraId="282786B5" w14:textId="77777777" w:rsidR="00C64C13" w:rsidRPr="00C64C13" w:rsidRDefault="00296DB5" w:rsidP="00DD09BB">
      <w:pPr>
        <w:pStyle w:val="ListParagraph"/>
        <w:numPr>
          <w:ilvl w:val="0"/>
          <w:numId w:val="1"/>
        </w:numPr>
      </w:pPr>
      <w:r w:rsidRPr="00DD09BB">
        <w:rPr>
          <w:rFonts w:eastAsia="Times New Roman" w:cstheme="minorHAnsi"/>
        </w:rPr>
        <w:t xml:space="preserve">On page 18 of the document, explain the figures for the operating expenses for Governing Body.  </w:t>
      </w:r>
    </w:p>
    <w:p w14:paraId="38BC134F" w14:textId="6960A0D6" w:rsidR="00DD09BB" w:rsidRPr="00C64C13" w:rsidRDefault="00C64C13" w:rsidP="00C64C13">
      <w:pPr>
        <w:pStyle w:val="ListParagraph"/>
        <w:rPr>
          <w:color w:val="4472C4" w:themeColor="accent1"/>
        </w:rPr>
      </w:pPr>
      <w:r w:rsidRPr="00C64C13">
        <w:rPr>
          <w:rFonts w:eastAsia="Times New Roman" w:cstheme="minorHAnsi"/>
          <w:color w:val="4472C4" w:themeColor="accent1"/>
        </w:rPr>
        <w:lastRenderedPageBreak/>
        <w:t>The various operating expenses for the Governing Body Department are itemized and discussed on pages 45-48 of the agenda packet</w:t>
      </w:r>
      <w:r>
        <w:rPr>
          <w:rFonts w:eastAsia="Times New Roman" w:cstheme="minorHAnsi"/>
          <w:color w:val="4472C4" w:themeColor="accent1"/>
        </w:rPr>
        <w:t xml:space="preserve"> for the June 11</w:t>
      </w:r>
      <w:r w:rsidRPr="00C64C13">
        <w:rPr>
          <w:rFonts w:eastAsia="Times New Roman" w:cstheme="minorHAnsi"/>
          <w:color w:val="4472C4" w:themeColor="accent1"/>
          <w:vertAlign w:val="superscript"/>
        </w:rPr>
        <w:t>th</w:t>
      </w:r>
      <w:r>
        <w:rPr>
          <w:rFonts w:eastAsia="Times New Roman" w:cstheme="minorHAnsi"/>
          <w:color w:val="4472C4" w:themeColor="accent1"/>
        </w:rPr>
        <w:t xml:space="preserve"> meeting. (</w:t>
      </w:r>
      <w:hyperlink r:id="rId5" w:history="1">
        <w:r w:rsidRPr="00CC2184">
          <w:rPr>
            <w:rStyle w:val="Hyperlink"/>
            <w:rFonts w:eastAsia="Times New Roman" w:cstheme="minorHAnsi"/>
          </w:rPr>
          <w:t>https://townofmontreat.org/wp-content/uploads/2020/06/packet06112020.pdf</w:t>
        </w:r>
      </w:hyperlink>
      <w:r>
        <w:rPr>
          <w:rFonts w:eastAsia="Times New Roman" w:cstheme="minorHAnsi"/>
          <w:color w:val="4472C4" w:themeColor="accent1"/>
        </w:rPr>
        <w:t xml:space="preserve">)  </w:t>
      </w:r>
      <w:r w:rsidRPr="00C64C13">
        <w:rPr>
          <w:rFonts w:eastAsia="Times New Roman" w:cstheme="minorHAnsi"/>
          <w:color w:val="4472C4" w:themeColor="accent1"/>
        </w:rPr>
        <w:t xml:space="preserve">  </w:t>
      </w:r>
    </w:p>
    <w:p w14:paraId="223DA04F" w14:textId="77CC9604" w:rsidR="00DD09BB" w:rsidRDefault="00DD09BB" w:rsidP="00DD09BB">
      <w:pPr>
        <w:pStyle w:val="ListParagraph"/>
        <w:rPr>
          <w:rFonts w:eastAsia="Times New Roman" w:cstheme="minorHAnsi"/>
        </w:rPr>
      </w:pPr>
    </w:p>
    <w:p w14:paraId="7EA3FDBA" w14:textId="77777777" w:rsidR="00623DD4" w:rsidRPr="00DD09BB" w:rsidRDefault="00623DD4" w:rsidP="00DD09BB">
      <w:pPr>
        <w:pStyle w:val="ListParagraph"/>
        <w:rPr>
          <w:rFonts w:eastAsia="Times New Roman" w:cstheme="minorHAnsi"/>
        </w:rPr>
      </w:pPr>
    </w:p>
    <w:p w14:paraId="1C12D6AA" w14:textId="77777777" w:rsidR="00DD09BB" w:rsidRPr="00DD09BB" w:rsidRDefault="00296DB5" w:rsidP="00DD09BB">
      <w:pPr>
        <w:pStyle w:val="ListParagraph"/>
        <w:numPr>
          <w:ilvl w:val="0"/>
          <w:numId w:val="1"/>
        </w:numPr>
      </w:pPr>
      <w:r w:rsidRPr="00DD09BB">
        <w:rPr>
          <w:rFonts w:eastAsia="Times New Roman" w:cstheme="minorHAnsi"/>
        </w:rPr>
        <w:t xml:space="preserve">Why are the figures so different in each of the fiscal years listed? </w:t>
      </w:r>
    </w:p>
    <w:p w14:paraId="1F48F089" w14:textId="5D0EF9F9" w:rsidR="00DD09BB" w:rsidRPr="00C64C13" w:rsidRDefault="00C64C13" w:rsidP="00C64C13">
      <w:pPr>
        <w:pStyle w:val="ListParagraph"/>
        <w:rPr>
          <w:rFonts w:eastAsia="Times New Roman" w:cstheme="minorHAnsi"/>
          <w:color w:val="4472C4" w:themeColor="accent1"/>
        </w:rPr>
      </w:pPr>
      <w:r>
        <w:rPr>
          <w:rFonts w:eastAsia="Times New Roman" w:cstheme="minorHAnsi"/>
          <w:color w:val="4472C4" w:themeColor="accent1"/>
        </w:rPr>
        <w:t xml:space="preserve">Various factors drive changes between fiscal years, including inflation, priority changes, and actual vs. projected costs. </w:t>
      </w:r>
    </w:p>
    <w:p w14:paraId="0F02BB26" w14:textId="77777777" w:rsidR="00623DD4" w:rsidRPr="00DD09BB" w:rsidRDefault="00623DD4" w:rsidP="00DD09BB">
      <w:pPr>
        <w:pStyle w:val="ListParagraph"/>
        <w:rPr>
          <w:rFonts w:eastAsia="Times New Roman" w:cstheme="minorHAnsi"/>
        </w:rPr>
      </w:pPr>
    </w:p>
    <w:p w14:paraId="39CD1C88" w14:textId="4DECECC1" w:rsidR="00DD09BB" w:rsidRPr="00DD09BB" w:rsidRDefault="00296DB5" w:rsidP="00DD09BB">
      <w:pPr>
        <w:pStyle w:val="ListParagraph"/>
        <w:numPr>
          <w:ilvl w:val="0"/>
          <w:numId w:val="1"/>
        </w:numPr>
      </w:pPr>
      <w:r w:rsidRPr="00DD09BB">
        <w:rPr>
          <w:rFonts w:eastAsia="Times New Roman" w:cstheme="minorHAnsi"/>
        </w:rPr>
        <w:t xml:space="preserve">The only item identified under this line item was for audit expenses.  Were audits that high in FY 19/20?  If so, why? If not were there other expenses?  If </w:t>
      </w:r>
      <w:proofErr w:type="gramStart"/>
      <w:r w:rsidRPr="00DD09BB">
        <w:rPr>
          <w:rFonts w:eastAsia="Times New Roman" w:cstheme="minorHAnsi"/>
        </w:rPr>
        <w:t>so</w:t>
      </w:r>
      <w:proofErr w:type="gramEnd"/>
      <w:r w:rsidRPr="00DD09BB">
        <w:rPr>
          <w:rFonts w:eastAsia="Times New Roman" w:cstheme="minorHAnsi"/>
        </w:rPr>
        <w:t xml:space="preserve"> what were the specific expenses paid?</w:t>
      </w:r>
      <w:r w:rsidRPr="00DD09BB">
        <w:rPr>
          <w:rFonts w:eastAsia="Times New Roman" w:cstheme="minorHAnsi"/>
        </w:rPr>
        <w:br/>
      </w:r>
      <w:r w:rsidR="00D93240">
        <w:rPr>
          <w:color w:val="4472C4" w:themeColor="accent1"/>
        </w:rPr>
        <w:t xml:space="preserve">Between 07/02/2018 and 01/08/19 the Town of Montreat paid $41,950 for Audit Services. Some of these expenses crossed fiscal years. However, the Town bid out new auditors and is not contracting for a lower price. </w:t>
      </w:r>
    </w:p>
    <w:p w14:paraId="0CCC61B4" w14:textId="77777777" w:rsidR="00DD09BB" w:rsidRPr="00DD09BB" w:rsidRDefault="00DD09BB" w:rsidP="00DD09BB">
      <w:pPr>
        <w:pStyle w:val="ListParagraph"/>
        <w:rPr>
          <w:rFonts w:eastAsia="Times New Roman" w:cstheme="minorHAnsi"/>
        </w:rPr>
      </w:pPr>
    </w:p>
    <w:p w14:paraId="3C91CC6B" w14:textId="6810E1FB" w:rsidR="00296DB5" w:rsidRDefault="00296DB5" w:rsidP="00CC2CFD">
      <w:pPr>
        <w:pStyle w:val="ListParagraph"/>
        <w:numPr>
          <w:ilvl w:val="0"/>
          <w:numId w:val="1"/>
        </w:numPr>
      </w:pPr>
      <w:r w:rsidRPr="00DD09BB">
        <w:rPr>
          <w:rFonts w:eastAsia="Times New Roman" w:cstheme="minorHAnsi"/>
        </w:rPr>
        <w:t>In the original budget proposal, the Flat Creek Bridge was not included. Have not had time to review current proposal to see if it has now been included.</w:t>
      </w:r>
      <w:r w:rsidRPr="00DD09BB">
        <w:rPr>
          <w:rFonts w:eastAsia="Times New Roman" w:cstheme="minorHAnsi"/>
        </w:rPr>
        <w:br/>
      </w:r>
      <w:r w:rsidR="00CC2CFD">
        <w:rPr>
          <w:color w:val="4472C4" w:themeColor="accent1"/>
        </w:rPr>
        <w:t xml:space="preserve">Texas Road Bridge is not included in the proposed budget. </w:t>
      </w:r>
      <w:r w:rsidRPr="00DD09BB">
        <w:rPr>
          <w:rFonts w:eastAsia="Times New Roman"/>
        </w:rPr>
        <w:br/>
      </w:r>
      <w:bookmarkEnd w:id="0"/>
    </w:p>
    <w:sectPr w:rsidR="00296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80197"/>
    <w:multiLevelType w:val="hybridMultilevel"/>
    <w:tmpl w:val="4D30C3EE"/>
    <w:lvl w:ilvl="0" w:tplc="D91239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5"/>
    <w:rsid w:val="00071522"/>
    <w:rsid w:val="000E262E"/>
    <w:rsid w:val="000F502A"/>
    <w:rsid w:val="001867A5"/>
    <w:rsid w:val="00296DB5"/>
    <w:rsid w:val="002C0F7D"/>
    <w:rsid w:val="002F2BC3"/>
    <w:rsid w:val="00373A74"/>
    <w:rsid w:val="00420800"/>
    <w:rsid w:val="004621D0"/>
    <w:rsid w:val="00496B13"/>
    <w:rsid w:val="0049709F"/>
    <w:rsid w:val="004B6F40"/>
    <w:rsid w:val="0051482A"/>
    <w:rsid w:val="00514D86"/>
    <w:rsid w:val="00534DDF"/>
    <w:rsid w:val="005856D0"/>
    <w:rsid w:val="00594DA1"/>
    <w:rsid w:val="00603E6E"/>
    <w:rsid w:val="00623DD4"/>
    <w:rsid w:val="00657F96"/>
    <w:rsid w:val="008100FC"/>
    <w:rsid w:val="008C6B0C"/>
    <w:rsid w:val="0090032A"/>
    <w:rsid w:val="009574D2"/>
    <w:rsid w:val="009D4CE4"/>
    <w:rsid w:val="00A02C7A"/>
    <w:rsid w:val="00A72CCE"/>
    <w:rsid w:val="00AB7A5D"/>
    <w:rsid w:val="00AE6BAB"/>
    <w:rsid w:val="00B70BEF"/>
    <w:rsid w:val="00C64C13"/>
    <w:rsid w:val="00CC2CFD"/>
    <w:rsid w:val="00D93240"/>
    <w:rsid w:val="00DC6385"/>
    <w:rsid w:val="00DD09BB"/>
    <w:rsid w:val="00DF37F6"/>
    <w:rsid w:val="00E14900"/>
    <w:rsid w:val="00E276CF"/>
    <w:rsid w:val="00FC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D648"/>
  <w15:chartTrackingRefBased/>
  <w15:docId w15:val="{368C031D-688E-49A8-AA48-DC6F32DC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BB"/>
    <w:pPr>
      <w:ind w:left="720"/>
      <w:contextualSpacing/>
    </w:pPr>
  </w:style>
  <w:style w:type="character" w:styleId="Hyperlink">
    <w:name w:val="Hyperlink"/>
    <w:basedOn w:val="DefaultParagraphFont"/>
    <w:uiPriority w:val="99"/>
    <w:unhideWhenUsed/>
    <w:rsid w:val="00C64C13"/>
    <w:rPr>
      <w:color w:val="0563C1" w:themeColor="hyperlink"/>
      <w:u w:val="single"/>
    </w:rPr>
  </w:style>
  <w:style w:type="character" w:styleId="UnresolvedMention">
    <w:name w:val="Unresolved Mention"/>
    <w:basedOn w:val="DefaultParagraphFont"/>
    <w:uiPriority w:val="99"/>
    <w:semiHidden/>
    <w:unhideWhenUsed/>
    <w:rsid w:val="00C64C13"/>
    <w:rPr>
      <w:color w:val="605E5C"/>
      <w:shd w:val="clear" w:color="auto" w:fill="E1DFDD"/>
    </w:rPr>
  </w:style>
  <w:style w:type="table" w:styleId="TableGrid">
    <w:name w:val="Table Grid"/>
    <w:basedOn w:val="TableNormal"/>
    <w:uiPriority w:val="39"/>
    <w:rsid w:val="0051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wnofmontreat.org/wp-content/uploads/2020/06/packet0611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Alex Carmichael</cp:lastModifiedBy>
  <cp:revision>2</cp:revision>
  <dcterms:created xsi:type="dcterms:W3CDTF">2020-06-11T19:04:00Z</dcterms:created>
  <dcterms:modified xsi:type="dcterms:W3CDTF">2020-06-11T19:04:00Z</dcterms:modified>
</cp:coreProperties>
</file>